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53D9" w14:textId="15DBD2CB" w:rsidR="00D51F98" w:rsidRDefault="00D51F98" w:rsidP="00B62FAE">
      <w:pPr>
        <w:spacing w:after="0" w:line="24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Exhibit </w:t>
      </w:r>
      <w:r w:rsidR="00C85945">
        <w:rPr>
          <w:rFonts w:ascii="Garamond" w:hAnsi="Garamond"/>
          <w:b/>
          <w:bCs/>
        </w:rPr>
        <w:t>K</w:t>
      </w:r>
      <w:r w:rsidR="00D6495A">
        <w:rPr>
          <w:rFonts w:ascii="Garamond" w:hAnsi="Garamond"/>
          <w:b/>
          <w:bCs/>
        </w:rPr>
        <w:t>-</w:t>
      </w:r>
      <w:r w:rsidR="00B62FAE">
        <w:rPr>
          <w:rFonts w:ascii="Garamond" w:hAnsi="Garamond"/>
          <w:b/>
          <w:bCs/>
        </w:rPr>
        <w:t xml:space="preserve">2 </w:t>
      </w:r>
      <w:r>
        <w:rPr>
          <w:rFonts w:ascii="Garamond" w:hAnsi="Garamond"/>
          <w:b/>
          <w:bCs/>
        </w:rPr>
        <w:t xml:space="preserve">– Guidance on </w:t>
      </w:r>
      <w:r w:rsidR="001A71A0">
        <w:rPr>
          <w:rFonts w:ascii="Garamond" w:hAnsi="Garamond"/>
          <w:b/>
          <w:bCs/>
        </w:rPr>
        <w:t xml:space="preserve">Grants </w:t>
      </w:r>
      <w:r>
        <w:rPr>
          <w:rFonts w:ascii="Garamond" w:hAnsi="Garamond"/>
          <w:b/>
          <w:bCs/>
        </w:rPr>
        <w:t>Sub-recipients</w:t>
      </w:r>
    </w:p>
    <w:p w14:paraId="100653DA" w14:textId="77777777" w:rsidR="00D51F98" w:rsidRDefault="00D51F98" w:rsidP="00D51F98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1451F1AD" w14:textId="20BF8077" w:rsidR="009D623F" w:rsidRDefault="00C24EC2" w:rsidP="0003410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main</w:t>
      </w:r>
      <w:r w:rsidR="00034107">
        <w:rPr>
          <w:rFonts w:ascii="Garamond" w:hAnsi="Garamond"/>
        </w:rPr>
        <w:t xml:space="preserve"> project</w:t>
      </w:r>
      <w:r w:rsidR="00D51F98" w:rsidRPr="00B27119">
        <w:rPr>
          <w:rFonts w:ascii="Garamond" w:hAnsi="Garamond"/>
        </w:rPr>
        <w:t xml:space="preserve"> implement</w:t>
      </w:r>
      <w:r w:rsidR="00034107">
        <w:rPr>
          <w:rFonts w:ascii="Garamond" w:hAnsi="Garamond"/>
        </w:rPr>
        <w:t>er</w:t>
      </w:r>
      <w:r w:rsidR="00D51F98" w:rsidRPr="00B27119">
        <w:rPr>
          <w:rFonts w:ascii="Garamond" w:hAnsi="Garamond"/>
        </w:rPr>
        <w:t xml:space="preserve"> will be the grant recipient. However, there may be circumstances where it is necessary to implement specific activities (or activities in particular countries) through sub-recipients. </w:t>
      </w:r>
      <w:r w:rsidR="009D623F">
        <w:rPr>
          <w:rFonts w:ascii="Garamond" w:hAnsi="Garamond"/>
        </w:rPr>
        <w:t>T</w:t>
      </w:r>
      <w:r w:rsidR="00D51F98" w:rsidRPr="00B27119">
        <w:rPr>
          <w:rFonts w:ascii="Garamond" w:hAnsi="Garamond"/>
        </w:rPr>
        <w:t xml:space="preserve">he grant recipient </w:t>
      </w:r>
      <w:r w:rsidR="00034107">
        <w:rPr>
          <w:rFonts w:ascii="Garamond" w:hAnsi="Garamond"/>
        </w:rPr>
        <w:t>will remain</w:t>
      </w:r>
      <w:r w:rsidR="00BC2680">
        <w:rPr>
          <w:rFonts w:ascii="Garamond" w:hAnsi="Garamond"/>
        </w:rPr>
        <w:t xml:space="preserve"> </w:t>
      </w:r>
      <w:r w:rsidR="00D51F98" w:rsidRPr="00B27119">
        <w:rPr>
          <w:rFonts w:ascii="Garamond" w:hAnsi="Garamond"/>
        </w:rPr>
        <w:t>accountable to IFAD for ensuring that grant resources are used in accordance with the provisions of the financing agreement</w:t>
      </w:r>
      <w:r w:rsidR="009D623F">
        <w:rPr>
          <w:rFonts w:ascii="Garamond" w:hAnsi="Garamond"/>
        </w:rPr>
        <w:t xml:space="preserve">, appropriately managed </w:t>
      </w:r>
      <w:r w:rsidR="00D51F98" w:rsidRPr="00B27119">
        <w:rPr>
          <w:rFonts w:ascii="Garamond" w:hAnsi="Garamond"/>
        </w:rPr>
        <w:t xml:space="preserve">and fully </w:t>
      </w:r>
      <w:r w:rsidR="009537E4">
        <w:rPr>
          <w:rFonts w:ascii="Garamond" w:hAnsi="Garamond"/>
        </w:rPr>
        <w:t>reported on</w:t>
      </w:r>
      <w:r w:rsidR="00D51F98" w:rsidRPr="00B27119">
        <w:rPr>
          <w:rFonts w:ascii="Garamond" w:hAnsi="Garamond"/>
        </w:rPr>
        <w:t xml:space="preserve">. </w:t>
      </w:r>
    </w:p>
    <w:p w14:paraId="06FA0CA9" w14:textId="77777777" w:rsidR="009D623F" w:rsidRDefault="009D623F" w:rsidP="009D623F">
      <w:pPr>
        <w:spacing w:after="0" w:line="240" w:lineRule="auto"/>
        <w:jc w:val="both"/>
        <w:rPr>
          <w:rFonts w:ascii="Garamond" w:hAnsi="Garamond"/>
        </w:rPr>
      </w:pPr>
    </w:p>
    <w:p w14:paraId="12E4F658" w14:textId="77777777" w:rsidR="009D623F" w:rsidRPr="002F716E" w:rsidRDefault="009D623F" w:rsidP="009D623F">
      <w:pPr>
        <w:spacing w:after="0" w:line="240" w:lineRule="auto"/>
        <w:jc w:val="both"/>
        <w:rPr>
          <w:rFonts w:ascii="Garamond" w:hAnsi="Garamond"/>
          <w:b/>
          <w:bCs/>
        </w:rPr>
      </w:pPr>
      <w:r w:rsidRPr="002F716E">
        <w:rPr>
          <w:rFonts w:ascii="Garamond" w:hAnsi="Garamond"/>
          <w:b/>
          <w:bCs/>
        </w:rPr>
        <w:t xml:space="preserve">Due diligence </w:t>
      </w:r>
    </w:p>
    <w:p w14:paraId="2B5EA18B" w14:textId="75D649C2" w:rsidR="004B38EE" w:rsidRDefault="009537E4" w:rsidP="00BE0DC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the case of sub-recipients above a certain threshold(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/>
        </w:rPr>
        <w:t xml:space="preserve">), </w:t>
      </w:r>
      <w:r w:rsidR="00D51F98" w:rsidRPr="00B27119">
        <w:rPr>
          <w:rFonts w:ascii="Garamond" w:hAnsi="Garamond"/>
        </w:rPr>
        <w:t xml:space="preserve">IFAD </w:t>
      </w:r>
      <w:r w:rsidR="00034107">
        <w:rPr>
          <w:rFonts w:ascii="Garamond" w:hAnsi="Garamond"/>
        </w:rPr>
        <w:t xml:space="preserve">will </w:t>
      </w:r>
      <w:r w:rsidR="00D51F98" w:rsidRPr="00B27119">
        <w:rPr>
          <w:rFonts w:ascii="Garamond" w:hAnsi="Garamond"/>
        </w:rPr>
        <w:t>perform ex-ante assessments</w:t>
      </w:r>
      <w:r>
        <w:rPr>
          <w:rFonts w:ascii="Garamond" w:hAnsi="Garamond"/>
        </w:rPr>
        <w:t xml:space="preserve"> as part of design due diligence</w:t>
      </w:r>
      <w:r w:rsidR="00D51F98" w:rsidRPr="00B27119">
        <w:rPr>
          <w:rFonts w:ascii="Garamond" w:hAnsi="Garamond"/>
        </w:rPr>
        <w:t xml:space="preserve">; </w:t>
      </w:r>
      <w:r>
        <w:rPr>
          <w:rFonts w:ascii="Garamond" w:hAnsi="Garamond"/>
        </w:rPr>
        <w:t>for the remainder</w:t>
      </w:r>
      <w:r w:rsidR="00D51F98" w:rsidRPr="00B27119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IFAD places </w:t>
      </w:r>
      <w:r w:rsidR="00D51F98" w:rsidRPr="00B27119">
        <w:rPr>
          <w:rFonts w:ascii="Garamond" w:hAnsi="Garamond"/>
        </w:rPr>
        <w:t xml:space="preserve">the emphasis on </w:t>
      </w:r>
      <w:r>
        <w:rPr>
          <w:rFonts w:ascii="Garamond" w:hAnsi="Garamond"/>
        </w:rPr>
        <w:t xml:space="preserve">assessing </w:t>
      </w:r>
      <w:r w:rsidR="00D51F98" w:rsidRPr="00B27119">
        <w:rPr>
          <w:rFonts w:ascii="Garamond" w:hAnsi="Garamond"/>
        </w:rPr>
        <w:t xml:space="preserve">the recipient’s </w:t>
      </w:r>
      <w:r>
        <w:rPr>
          <w:rFonts w:ascii="Garamond" w:hAnsi="Garamond"/>
        </w:rPr>
        <w:t xml:space="preserve">own </w:t>
      </w:r>
      <w:r w:rsidR="00D51F98" w:rsidRPr="00B27119">
        <w:rPr>
          <w:rFonts w:ascii="Garamond" w:hAnsi="Garamond"/>
        </w:rPr>
        <w:t xml:space="preserve">processes for </w:t>
      </w:r>
      <w:r>
        <w:rPr>
          <w:rFonts w:ascii="Garamond" w:hAnsi="Garamond"/>
        </w:rPr>
        <w:t xml:space="preserve">selecting </w:t>
      </w:r>
      <w:r w:rsidR="00D51F98" w:rsidRPr="00B27119">
        <w:rPr>
          <w:rFonts w:ascii="Garamond" w:hAnsi="Garamond"/>
        </w:rPr>
        <w:t>and monitoring sub-recipients</w:t>
      </w:r>
      <w:r w:rsidR="00034107" w:rsidRPr="00B27119">
        <w:rPr>
          <w:rFonts w:ascii="Garamond" w:hAnsi="Garamond"/>
        </w:rPr>
        <w:t>(</w:t>
      </w:r>
      <w:r w:rsidR="00034107" w:rsidRPr="00B27119">
        <w:rPr>
          <w:rStyle w:val="FootnoteReference"/>
          <w:rFonts w:ascii="Garamond" w:hAnsi="Garamond"/>
        </w:rPr>
        <w:footnoteReference w:id="2"/>
      </w:r>
      <w:r w:rsidR="00034107" w:rsidRPr="00B27119">
        <w:rPr>
          <w:rFonts w:ascii="Garamond" w:hAnsi="Garamond"/>
        </w:rPr>
        <w:t>)</w:t>
      </w:r>
      <w:r w:rsidR="00D51F98" w:rsidRPr="00B27119">
        <w:rPr>
          <w:rFonts w:ascii="Garamond" w:hAnsi="Garamond"/>
        </w:rPr>
        <w:t>. IFAD defines sub-recipients as “significant” when they receive resources of USD 100,000 or more</w:t>
      </w:r>
      <w:r w:rsidR="00034107">
        <w:rPr>
          <w:rFonts w:ascii="Garamond" w:hAnsi="Garamond"/>
        </w:rPr>
        <w:t xml:space="preserve">. In this case the related </w:t>
      </w:r>
      <w:r w:rsidR="00BE0DC7">
        <w:rPr>
          <w:rFonts w:ascii="Garamond" w:hAnsi="Garamond"/>
        </w:rPr>
        <w:t>Implementation</w:t>
      </w:r>
      <w:bookmarkStart w:id="0" w:name="_GoBack"/>
      <w:bookmarkEnd w:id="0"/>
      <w:r w:rsidR="00034107">
        <w:rPr>
          <w:rFonts w:ascii="Garamond" w:hAnsi="Garamond"/>
        </w:rPr>
        <w:t xml:space="preserve"> Agreement is </w:t>
      </w:r>
      <w:r w:rsidR="00034107" w:rsidRPr="00034107">
        <w:rPr>
          <w:rFonts w:ascii="Garamond" w:hAnsi="Garamond"/>
        </w:rPr>
        <w:t xml:space="preserve">subject to prior clearance </w:t>
      </w:r>
      <w:r w:rsidR="00034107">
        <w:rPr>
          <w:rFonts w:ascii="Garamond" w:hAnsi="Garamond"/>
        </w:rPr>
        <w:t>by</w:t>
      </w:r>
      <w:r w:rsidR="00034107" w:rsidRPr="00034107">
        <w:rPr>
          <w:rFonts w:ascii="Garamond" w:hAnsi="Garamond"/>
        </w:rPr>
        <w:t xml:space="preserve"> IFAD</w:t>
      </w:r>
      <w:r w:rsidR="00D51F98" w:rsidRPr="00B27119">
        <w:rPr>
          <w:rFonts w:ascii="Garamond" w:hAnsi="Garamond"/>
        </w:rPr>
        <w:t xml:space="preserve">. Significant sub-recipients </w:t>
      </w:r>
      <w:r w:rsidR="00034107">
        <w:rPr>
          <w:rFonts w:ascii="Garamond" w:hAnsi="Garamond"/>
        </w:rPr>
        <w:t>are</w:t>
      </w:r>
      <w:r w:rsidR="00D51F98" w:rsidRPr="00B27119">
        <w:rPr>
          <w:rFonts w:ascii="Garamond" w:hAnsi="Garamond"/>
        </w:rPr>
        <w:t xml:space="preserve"> </w:t>
      </w:r>
      <w:r w:rsidR="004B38EE">
        <w:rPr>
          <w:rFonts w:ascii="Garamond" w:hAnsi="Garamond"/>
        </w:rPr>
        <w:t xml:space="preserve">normally </w:t>
      </w:r>
      <w:r w:rsidR="00D51F98" w:rsidRPr="00B27119">
        <w:rPr>
          <w:rFonts w:ascii="Garamond" w:hAnsi="Garamond"/>
        </w:rPr>
        <w:t xml:space="preserve">identified </w:t>
      </w:r>
      <w:r w:rsidR="00034107">
        <w:rPr>
          <w:rFonts w:ascii="Garamond" w:hAnsi="Garamond"/>
        </w:rPr>
        <w:t>at</w:t>
      </w:r>
      <w:r w:rsidR="00D51F98" w:rsidRPr="00B27119">
        <w:rPr>
          <w:rFonts w:ascii="Garamond" w:hAnsi="Garamond"/>
        </w:rPr>
        <w:t xml:space="preserve"> design, and the amount they will manage specified in the financing agreement. </w:t>
      </w:r>
      <w:r w:rsidR="00034107">
        <w:rPr>
          <w:rFonts w:ascii="Garamond" w:hAnsi="Garamond"/>
        </w:rPr>
        <w:t xml:space="preserve">In some cases </w:t>
      </w:r>
      <w:r w:rsidR="00034107" w:rsidRPr="00B27119">
        <w:rPr>
          <w:rFonts w:ascii="Garamond" w:hAnsi="Garamond"/>
        </w:rPr>
        <w:t xml:space="preserve">it is not possible to identify sub-recipients at design stage – for example, where </w:t>
      </w:r>
      <w:r w:rsidR="00034107">
        <w:rPr>
          <w:rFonts w:ascii="Garamond" w:hAnsi="Garamond"/>
        </w:rPr>
        <w:t xml:space="preserve">grant resources will be made available </w:t>
      </w:r>
      <w:r w:rsidR="00034107" w:rsidRPr="00B27119">
        <w:rPr>
          <w:rFonts w:ascii="Garamond" w:hAnsi="Garamond"/>
        </w:rPr>
        <w:t xml:space="preserve">through small sub-grants to sub-recipients </w:t>
      </w:r>
      <w:r w:rsidR="00034107">
        <w:rPr>
          <w:rFonts w:ascii="Garamond" w:hAnsi="Garamond"/>
        </w:rPr>
        <w:t xml:space="preserve">on a </w:t>
      </w:r>
      <w:r w:rsidR="00034107" w:rsidRPr="00B27119">
        <w:rPr>
          <w:rFonts w:ascii="Garamond" w:hAnsi="Garamond"/>
        </w:rPr>
        <w:t>bid</w:t>
      </w:r>
      <w:r w:rsidR="00034107">
        <w:rPr>
          <w:rFonts w:ascii="Garamond" w:hAnsi="Garamond"/>
        </w:rPr>
        <w:t>ding basis. This factor will be taken into consideration in assessing the risk of the project until it has been possible to carry out the due diligence on the sub-recipients.</w:t>
      </w:r>
    </w:p>
    <w:p w14:paraId="100653DC" w14:textId="77777777" w:rsidR="00D51F98" w:rsidRPr="00B27119" w:rsidRDefault="00D51F98" w:rsidP="00D51F98">
      <w:pPr>
        <w:spacing w:after="0" w:line="240" w:lineRule="auto"/>
        <w:ind w:left="714"/>
        <w:jc w:val="both"/>
        <w:rPr>
          <w:rFonts w:ascii="Garamond" w:hAnsi="Garamond"/>
        </w:rPr>
      </w:pPr>
    </w:p>
    <w:p w14:paraId="25D61086" w14:textId="48C2BFD7" w:rsidR="007F7023" w:rsidRPr="002F716E" w:rsidRDefault="009D623F" w:rsidP="003D1F17">
      <w:pPr>
        <w:spacing w:after="0" w:line="240" w:lineRule="auto"/>
        <w:jc w:val="both"/>
        <w:rPr>
          <w:rFonts w:ascii="Garamond" w:hAnsi="Garamond"/>
          <w:b/>
          <w:bCs/>
        </w:rPr>
      </w:pPr>
      <w:r w:rsidRPr="002F716E">
        <w:rPr>
          <w:rFonts w:ascii="Garamond" w:hAnsi="Garamond"/>
          <w:b/>
          <w:bCs/>
        </w:rPr>
        <w:t>Grant design document</w:t>
      </w:r>
    </w:p>
    <w:p w14:paraId="100653DD" w14:textId="1311BAC3" w:rsidR="00D51F98" w:rsidRPr="00B27119" w:rsidRDefault="007F7023" w:rsidP="007F7023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D51F98" w:rsidRPr="00B27119">
        <w:rPr>
          <w:rFonts w:ascii="Garamond" w:hAnsi="Garamond"/>
        </w:rPr>
        <w:t xml:space="preserve">sub-recipients are </w:t>
      </w:r>
      <w:r>
        <w:rPr>
          <w:rFonts w:ascii="Garamond" w:hAnsi="Garamond"/>
        </w:rPr>
        <w:t>expected to implement grant activities</w:t>
      </w:r>
      <w:r w:rsidR="00D51F98" w:rsidRPr="00B27119">
        <w:rPr>
          <w:rFonts w:ascii="Garamond" w:hAnsi="Garamond"/>
        </w:rPr>
        <w:t xml:space="preserve">, the grant design document </w:t>
      </w:r>
      <w:r>
        <w:rPr>
          <w:rFonts w:ascii="Garamond" w:hAnsi="Garamond"/>
        </w:rPr>
        <w:t>must</w:t>
      </w:r>
      <w:r w:rsidR="00D51F98" w:rsidRPr="00B27119">
        <w:rPr>
          <w:rFonts w:ascii="Garamond" w:hAnsi="Garamond"/>
        </w:rPr>
        <w:t xml:space="preserve">: </w:t>
      </w:r>
    </w:p>
    <w:p w14:paraId="100653DE" w14:textId="23CE548B" w:rsidR="00D51F98" w:rsidRPr="00B27119" w:rsidRDefault="003D1F17" w:rsidP="0003410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Provide a clear justification for </w:t>
      </w:r>
      <w:r w:rsidR="00D51F98" w:rsidRPr="00B27119">
        <w:rPr>
          <w:rFonts w:ascii="Garamond" w:hAnsi="Garamond"/>
        </w:rPr>
        <w:t>the use of sub-recipients</w:t>
      </w:r>
      <w:r>
        <w:rPr>
          <w:rFonts w:ascii="Garamond" w:hAnsi="Garamond"/>
        </w:rPr>
        <w:t xml:space="preserve">, including clarifying </w:t>
      </w:r>
      <w:r w:rsidR="00D51F98" w:rsidRPr="00B27119">
        <w:rPr>
          <w:rFonts w:ascii="Garamond" w:hAnsi="Garamond"/>
        </w:rPr>
        <w:t>the reason for incurring two (or more) sets of management fees</w:t>
      </w:r>
      <w:r w:rsidR="00034107">
        <w:rPr>
          <w:rFonts w:ascii="Garamond" w:hAnsi="Garamond"/>
        </w:rPr>
        <w:t>.</w:t>
      </w:r>
      <w:r w:rsidR="00C24EC2">
        <w:rPr>
          <w:rFonts w:ascii="Garamond" w:hAnsi="Garamond"/>
        </w:rPr>
        <w:t xml:space="preserve"> </w:t>
      </w:r>
      <w:r w:rsidR="00034107">
        <w:rPr>
          <w:rFonts w:ascii="Garamond" w:hAnsi="Garamond"/>
        </w:rPr>
        <w:t>T</w:t>
      </w:r>
      <w:r w:rsidR="00C24EC2">
        <w:rPr>
          <w:rFonts w:ascii="Garamond" w:hAnsi="Garamond"/>
        </w:rPr>
        <w:t xml:space="preserve">otal </w:t>
      </w:r>
      <w:r w:rsidR="00F124B1">
        <w:rPr>
          <w:rFonts w:ascii="Garamond" w:hAnsi="Garamond"/>
        </w:rPr>
        <w:t>overheads</w:t>
      </w:r>
      <w:r w:rsidR="00C24EC2">
        <w:rPr>
          <w:rFonts w:ascii="Garamond" w:hAnsi="Garamond"/>
        </w:rPr>
        <w:t xml:space="preserve"> </w:t>
      </w:r>
      <w:r w:rsidR="00C71E10">
        <w:rPr>
          <w:rFonts w:ascii="Garamond" w:hAnsi="Garamond"/>
        </w:rPr>
        <w:t>can</w:t>
      </w:r>
      <w:r w:rsidR="00C24EC2">
        <w:rPr>
          <w:rFonts w:ascii="Garamond" w:hAnsi="Garamond"/>
        </w:rPr>
        <w:t xml:space="preserve">not exceed 8% of </w:t>
      </w:r>
      <w:r w:rsidR="00326C78">
        <w:rPr>
          <w:rFonts w:ascii="Garamond" w:hAnsi="Garamond"/>
        </w:rPr>
        <w:t xml:space="preserve">project </w:t>
      </w:r>
      <w:r w:rsidR="00C24EC2">
        <w:rPr>
          <w:rFonts w:ascii="Garamond" w:hAnsi="Garamond"/>
        </w:rPr>
        <w:t>direct costs</w:t>
      </w:r>
      <w:r w:rsidR="00D51F98" w:rsidRPr="00B27119">
        <w:rPr>
          <w:rFonts w:ascii="Garamond" w:hAnsi="Garamond"/>
        </w:rPr>
        <w:t xml:space="preserve">; </w:t>
      </w:r>
    </w:p>
    <w:p w14:paraId="100653DF" w14:textId="72768623" w:rsidR="00D51F98" w:rsidRPr="00B27119" w:rsidRDefault="00C71E10" w:rsidP="0003410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Describe </w:t>
      </w:r>
      <w:r w:rsidR="00D51F98" w:rsidRPr="00B27119">
        <w:rPr>
          <w:rFonts w:ascii="Garamond" w:hAnsi="Garamond"/>
        </w:rPr>
        <w:t xml:space="preserve">how the grant recipient will ensure that grant resources are used in accordance with the provisions of the financing agreement and fully accounted for. This </w:t>
      </w:r>
      <w:r>
        <w:rPr>
          <w:rFonts w:ascii="Garamond" w:hAnsi="Garamond"/>
        </w:rPr>
        <w:t xml:space="preserve">description </w:t>
      </w:r>
      <w:r w:rsidR="00D51F98" w:rsidRPr="00B27119">
        <w:rPr>
          <w:rFonts w:ascii="Garamond" w:hAnsi="Garamond"/>
        </w:rPr>
        <w:t xml:space="preserve">should include an overview of the recipient’s process for assessing and monitoring sub-recipients, how the </w:t>
      </w:r>
      <w:r w:rsidR="00034107">
        <w:rPr>
          <w:rFonts w:ascii="Garamond" w:hAnsi="Garamond"/>
        </w:rPr>
        <w:t>financial reports</w:t>
      </w:r>
      <w:r w:rsidR="00D51F98" w:rsidRPr="00B27119">
        <w:rPr>
          <w:rFonts w:ascii="Garamond" w:hAnsi="Garamond"/>
        </w:rPr>
        <w:t xml:space="preserve"> will include the transactions, and </w:t>
      </w:r>
      <w:r w:rsidR="00C069FB">
        <w:rPr>
          <w:rFonts w:ascii="Garamond" w:hAnsi="Garamond"/>
        </w:rPr>
        <w:t xml:space="preserve">confirm </w:t>
      </w:r>
      <w:r w:rsidR="00D51F98" w:rsidRPr="00B27119">
        <w:rPr>
          <w:rFonts w:ascii="Garamond" w:hAnsi="Garamond"/>
        </w:rPr>
        <w:t>that</w:t>
      </w:r>
      <w:r w:rsidR="00C069FB">
        <w:rPr>
          <w:rFonts w:ascii="Garamond" w:hAnsi="Garamond"/>
        </w:rPr>
        <w:t xml:space="preserve"> </w:t>
      </w:r>
      <w:r w:rsidR="00D51F98" w:rsidRPr="00B27119">
        <w:rPr>
          <w:rFonts w:ascii="Garamond" w:hAnsi="Garamond"/>
        </w:rPr>
        <w:t>the recipient</w:t>
      </w:r>
      <w:r w:rsidR="00C069FB">
        <w:rPr>
          <w:rFonts w:ascii="Garamond" w:hAnsi="Garamond"/>
        </w:rPr>
        <w:t>'s</w:t>
      </w:r>
      <w:r w:rsidR="00D51F98" w:rsidRPr="00B27119">
        <w:rPr>
          <w:rFonts w:ascii="Garamond" w:hAnsi="Garamond"/>
        </w:rPr>
        <w:t xml:space="preserve"> </w:t>
      </w:r>
      <w:r w:rsidR="00C069FB">
        <w:rPr>
          <w:rFonts w:ascii="Garamond" w:hAnsi="Garamond"/>
        </w:rPr>
        <w:t xml:space="preserve">independent </w:t>
      </w:r>
      <w:r w:rsidR="00D51F98" w:rsidRPr="00B27119">
        <w:rPr>
          <w:rFonts w:ascii="Garamond" w:hAnsi="Garamond"/>
        </w:rPr>
        <w:t xml:space="preserve">auditors </w:t>
      </w:r>
      <w:r w:rsidR="00C069FB">
        <w:rPr>
          <w:rFonts w:ascii="Garamond" w:hAnsi="Garamond"/>
        </w:rPr>
        <w:t xml:space="preserve">will be granted </w:t>
      </w:r>
      <w:r w:rsidR="00D51F98" w:rsidRPr="00B27119">
        <w:rPr>
          <w:rFonts w:ascii="Garamond" w:hAnsi="Garamond"/>
        </w:rPr>
        <w:t>access to the sub-recipient</w:t>
      </w:r>
      <w:r w:rsidR="00C069FB">
        <w:rPr>
          <w:rFonts w:ascii="Garamond" w:hAnsi="Garamond"/>
        </w:rPr>
        <w:t>'s</w:t>
      </w:r>
      <w:r w:rsidR="00C24EC2">
        <w:rPr>
          <w:rFonts w:ascii="Garamond" w:hAnsi="Garamond"/>
        </w:rPr>
        <w:t xml:space="preserve"> project-related </w:t>
      </w:r>
      <w:r w:rsidR="00C069FB">
        <w:rPr>
          <w:rFonts w:ascii="Garamond" w:hAnsi="Garamond"/>
        </w:rPr>
        <w:t xml:space="preserve">accounts </w:t>
      </w:r>
      <w:r w:rsidR="00C24EC2">
        <w:rPr>
          <w:rFonts w:ascii="Garamond" w:hAnsi="Garamond"/>
        </w:rPr>
        <w:t>and documentation</w:t>
      </w:r>
      <w:r w:rsidR="00D51F98" w:rsidRPr="00B27119">
        <w:rPr>
          <w:rFonts w:ascii="Garamond" w:hAnsi="Garamond"/>
        </w:rPr>
        <w:t xml:space="preserve">. </w:t>
      </w:r>
    </w:p>
    <w:p w14:paraId="100653E0" w14:textId="77777777" w:rsidR="00D51F98" w:rsidRPr="00B27119" w:rsidRDefault="00D51F98" w:rsidP="00D51F98">
      <w:pPr>
        <w:spacing w:after="0" w:line="240" w:lineRule="auto"/>
        <w:ind w:left="1074"/>
        <w:jc w:val="both"/>
        <w:rPr>
          <w:rFonts w:ascii="Garamond" w:hAnsi="Garamond"/>
        </w:rPr>
      </w:pPr>
    </w:p>
    <w:p w14:paraId="6AFE33CB" w14:textId="3CA63DBC" w:rsidR="007F7023" w:rsidRPr="002F716E" w:rsidRDefault="007F7023" w:rsidP="007F7023">
      <w:pPr>
        <w:spacing w:after="0" w:line="240" w:lineRule="auto"/>
        <w:jc w:val="both"/>
        <w:rPr>
          <w:rFonts w:ascii="Garamond" w:hAnsi="Garamond"/>
          <w:b/>
          <w:bCs/>
        </w:rPr>
      </w:pPr>
      <w:r w:rsidRPr="002F716E">
        <w:rPr>
          <w:rFonts w:ascii="Garamond" w:hAnsi="Garamond"/>
          <w:b/>
          <w:bCs/>
        </w:rPr>
        <w:t>Clearance of sub-agreements</w:t>
      </w:r>
    </w:p>
    <w:p w14:paraId="55E885C0" w14:textId="79817F7E" w:rsidR="000C5CAD" w:rsidRDefault="00DC739D" w:rsidP="0003410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D51F98" w:rsidRPr="00B27119">
        <w:rPr>
          <w:rFonts w:ascii="Garamond" w:hAnsi="Garamond"/>
        </w:rPr>
        <w:t>IFAD</w:t>
      </w:r>
      <w:r>
        <w:rPr>
          <w:rFonts w:ascii="Garamond" w:hAnsi="Garamond"/>
        </w:rPr>
        <w:t xml:space="preserve"> Grant Technical Manager</w:t>
      </w:r>
      <w:r w:rsidR="00034107">
        <w:rPr>
          <w:rFonts w:ascii="Garamond" w:hAnsi="Garamond"/>
        </w:rPr>
        <w:t xml:space="preserve"> (GTM)</w:t>
      </w:r>
      <w:r>
        <w:rPr>
          <w:rFonts w:ascii="Garamond" w:hAnsi="Garamond"/>
        </w:rPr>
        <w:t xml:space="preserve">'s </w:t>
      </w:r>
      <w:r w:rsidR="00D51F98" w:rsidRPr="00B27119">
        <w:rPr>
          <w:rFonts w:ascii="Garamond" w:hAnsi="Garamond"/>
        </w:rPr>
        <w:t>prior review of sub-agreements with significant sub-recipients</w:t>
      </w:r>
      <w:r>
        <w:rPr>
          <w:rFonts w:ascii="Garamond" w:hAnsi="Garamond"/>
        </w:rPr>
        <w:t xml:space="preserve"> is required</w:t>
      </w:r>
      <w:r w:rsidR="00D51F98" w:rsidRPr="00B2711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The </w:t>
      </w:r>
      <w:r w:rsidR="00034107">
        <w:rPr>
          <w:rFonts w:ascii="Garamond" w:hAnsi="Garamond"/>
        </w:rPr>
        <w:t>GTM</w:t>
      </w:r>
      <w:r>
        <w:rPr>
          <w:rFonts w:ascii="Garamond" w:hAnsi="Garamond"/>
        </w:rPr>
        <w:t xml:space="preserve"> may opt to review other sub-agreements</w:t>
      </w:r>
      <w:r w:rsidR="00D51F98" w:rsidRPr="00B27119">
        <w:rPr>
          <w:rFonts w:ascii="Garamond" w:hAnsi="Garamond"/>
        </w:rPr>
        <w:t xml:space="preserve"> or conduct an ex-post review. </w:t>
      </w:r>
    </w:p>
    <w:p w14:paraId="20110DE8" w14:textId="77777777" w:rsidR="007F7023" w:rsidRDefault="007F7023" w:rsidP="00D51F98">
      <w:pPr>
        <w:spacing w:after="0" w:line="240" w:lineRule="auto"/>
        <w:jc w:val="both"/>
        <w:rPr>
          <w:rFonts w:ascii="Garamond" w:hAnsi="Garamond"/>
        </w:rPr>
      </w:pPr>
    </w:p>
    <w:p w14:paraId="3EA59CB4" w14:textId="06400CE9" w:rsidR="002E0897" w:rsidRPr="002F716E" w:rsidRDefault="002E0897" w:rsidP="002F716E">
      <w:pPr>
        <w:spacing w:after="0" w:line="240" w:lineRule="auto"/>
        <w:jc w:val="both"/>
        <w:rPr>
          <w:rFonts w:ascii="Garamond" w:hAnsi="Garamond"/>
          <w:b/>
          <w:bCs/>
        </w:rPr>
      </w:pPr>
      <w:r w:rsidRPr="002F716E">
        <w:rPr>
          <w:rFonts w:ascii="Garamond" w:hAnsi="Garamond"/>
          <w:b/>
          <w:bCs/>
        </w:rPr>
        <w:t>Distinction between sub-recipients and service providers</w:t>
      </w:r>
    </w:p>
    <w:p w14:paraId="100653E1" w14:textId="5DD5DCEB" w:rsidR="00D51F98" w:rsidRPr="00B27119" w:rsidRDefault="00D51F98" w:rsidP="00034107">
      <w:pPr>
        <w:spacing w:after="0" w:line="240" w:lineRule="auto"/>
        <w:jc w:val="both"/>
        <w:rPr>
          <w:rFonts w:ascii="Garamond" w:hAnsi="Garamond" w:cs="Verdana"/>
        </w:rPr>
      </w:pPr>
      <w:r w:rsidRPr="00B27119">
        <w:rPr>
          <w:rFonts w:ascii="Garamond" w:hAnsi="Garamond"/>
        </w:rPr>
        <w:t xml:space="preserve">Some of the </w:t>
      </w:r>
      <w:r w:rsidR="00034107">
        <w:rPr>
          <w:rFonts w:ascii="Garamond" w:hAnsi="Garamond"/>
        </w:rPr>
        <w:t>main</w:t>
      </w:r>
      <w:r w:rsidR="0094104D">
        <w:rPr>
          <w:rFonts w:ascii="Garamond" w:hAnsi="Garamond"/>
        </w:rPr>
        <w:t xml:space="preserve"> </w:t>
      </w:r>
      <w:r w:rsidRPr="00B27119">
        <w:rPr>
          <w:rFonts w:ascii="Garamond" w:hAnsi="Garamond"/>
        </w:rPr>
        <w:t xml:space="preserve">differences </w:t>
      </w:r>
      <w:r w:rsidR="00034107" w:rsidRPr="00B27119">
        <w:rPr>
          <w:rFonts w:ascii="Garamond" w:hAnsi="Garamond"/>
        </w:rPr>
        <w:t xml:space="preserve">between grant sub-recipients and </w:t>
      </w:r>
      <w:r w:rsidR="00034107">
        <w:rPr>
          <w:rFonts w:ascii="Garamond" w:hAnsi="Garamond"/>
        </w:rPr>
        <w:t>service providers</w:t>
      </w:r>
      <w:r w:rsidR="00034107" w:rsidRPr="00B27119">
        <w:rPr>
          <w:rFonts w:ascii="Garamond" w:hAnsi="Garamond"/>
        </w:rPr>
        <w:t xml:space="preserve"> </w:t>
      </w:r>
      <w:r w:rsidRPr="00B27119">
        <w:rPr>
          <w:rFonts w:ascii="Garamond" w:hAnsi="Garamond"/>
        </w:rPr>
        <w:t>are highlighted below</w:t>
      </w:r>
      <w:r w:rsidRPr="00B27119">
        <w:rPr>
          <w:rFonts w:ascii="Garamond" w:hAnsi="Garamond" w:cs="Verdana"/>
        </w:rPr>
        <w:t>:</w:t>
      </w:r>
      <w:r w:rsidR="00DC739D">
        <w:rPr>
          <w:rFonts w:ascii="Garamond" w:hAnsi="Garamond" w:cs="Verdana"/>
        </w:rPr>
        <w:t xml:space="preserve"> </w:t>
      </w:r>
    </w:p>
    <w:p w14:paraId="100653E2" w14:textId="77777777" w:rsidR="00D51F98" w:rsidRPr="00B27119" w:rsidRDefault="00D51F98" w:rsidP="00D51F98">
      <w:pPr>
        <w:spacing w:after="0" w:line="240" w:lineRule="auto"/>
        <w:ind w:left="714"/>
        <w:jc w:val="both"/>
        <w:rPr>
          <w:rFonts w:ascii="Garamond" w:hAnsi="Garamond" w:cs="Verdana"/>
        </w:rPr>
      </w:pPr>
    </w:p>
    <w:p w14:paraId="100653E3" w14:textId="77777777" w:rsidR="00D51F98" w:rsidRDefault="00D51F98" w:rsidP="00D51F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B27119">
        <w:rPr>
          <w:rFonts w:ascii="Garamond" w:hAnsi="Garamond"/>
          <w:b/>
          <w:bCs/>
        </w:rPr>
        <w:t>Principal differences between sub-recipients and contractors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4142"/>
      </w:tblGrid>
      <w:tr w:rsidR="00D51F98" w:rsidRPr="00B27119" w14:paraId="100653EA" w14:textId="77777777" w:rsidTr="00DA7898">
        <w:trPr>
          <w:trHeight w:val="84"/>
          <w:jc w:val="center"/>
        </w:trPr>
        <w:tc>
          <w:tcPr>
            <w:tcW w:w="4142" w:type="dxa"/>
          </w:tcPr>
          <w:p w14:paraId="100653E7" w14:textId="22893449" w:rsidR="00D51F98" w:rsidRPr="000C5CAD" w:rsidRDefault="00D51F98" w:rsidP="000C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r w:rsidRPr="00B2711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An organization is likely to be a sub-recipient if it: </w:t>
            </w:r>
          </w:p>
        </w:tc>
        <w:tc>
          <w:tcPr>
            <w:tcW w:w="4142" w:type="dxa"/>
          </w:tcPr>
          <w:p w14:paraId="100653E9" w14:textId="2D487017" w:rsidR="00D51F98" w:rsidRPr="00B27119" w:rsidRDefault="00D51F98" w:rsidP="002F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b/>
                <w:bCs/>
                <w:color w:val="000000"/>
              </w:rPr>
            </w:pPr>
            <w:r w:rsidRPr="00B2711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An organization is likely to be a </w:t>
            </w:r>
            <w:r w:rsidR="002F716E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service provider </w:t>
            </w:r>
            <w:r w:rsidRPr="00B27119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if it: </w:t>
            </w:r>
          </w:p>
        </w:tc>
      </w:tr>
      <w:tr w:rsidR="00D51F98" w:rsidRPr="00B27119" w14:paraId="100653F0" w14:textId="77777777" w:rsidTr="00DA7898">
        <w:trPr>
          <w:trHeight w:val="166"/>
          <w:jc w:val="center"/>
        </w:trPr>
        <w:tc>
          <w:tcPr>
            <w:tcW w:w="4142" w:type="dxa"/>
          </w:tcPr>
          <w:p w14:paraId="100653ED" w14:textId="1ADFF1C3" w:rsidR="00D51F98" w:rsidRPr="00B27119" w:rsidRDefault="00D51F98" w:rsidP="000C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determines who is eligible to receive financial assistance under the grant </w:t>
            </w:r>
          </w:p>
        </w:tc>
        <w:tc>
          <w:tcPr>
            <w:tcW w:w="4142" w:type="dxa"/>
          </w:tcPr>
          <w:p w14:paraId="100653EF" w14:textId="77777777" w:rsidR="00D51F98" w:rsidRPr="00B27119" w:rsidRDefault="00C24EC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operates to provide similar goods and services to many different purchasers</w:t>
            </w:r>
          </w:p>
        </w:tc>
      </w:tr>
      <w:tr w:rsidR="00D51F98" w:rsidRPr="00B27119" w14:paraId="100653F7" w14:textId="77777777" w:rsidTr="00DA7898">
        <w:trPr>
          <w:trHeight w:val="167"/>
          <w:jc w:val="center"/>
        </w:trPr>
        <w:tc>
          <w:tcPr>
            <w:tcW w:w="4142" w:type="dxa"/>
          </w:tcPr>
          <w:p w14:paraId="100653F3" w14:textId="428967C2" w:rsidR="00D51F98" w:rsidRPr="00B27119" w:rsidRDefault="00D51F98" w:rsidP="0003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has its performance measured against whether the objectives of the grant are met </w:t>
            </w:r>
          </w:p>
        </w:tc>
        <w:tc>
          <w:tcPr>
            <w:tcW w:w="4142" w:type="dxa"/>
          </w:tcPr>
          <w:p w14:paraId="100653F6" w14:textId="6B8AAFDB" w:rsidR="00D51F98" w:rsidRPr="00B27119" w:rsidRDefault="00C24EC2" w:rsidP="0003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performance depends on whether </w:t>
            </w:r>
            <w:r w:rsidR="00034107">
              <w:rPr>
                <w:rFonts w:ascii="Garamond" w:hAnsi="Garamond"/>
                <w:color w:val="000000"/>
              </w:rPr>
              <w:t xml:space="preserve">satisfactory </w:t>
            </w:r>
            <w:r>
              <w:rPr>
                <w:rFonts w:ascii="Garamond" w:hAnsi="Garamond"/>
                <w:color w:val="000000"/>
              </w:rPr>
              <w:t>goods</w:t>
            </w:r>
            <w:r w:rsidR="00034107">
              <w:rPr>
                <w:rFonts w:ascii="Garamond" w:hAnsi="Garamond"/>
                <w:color w:val="000000"/>
              </w:rPr>
              <w:t>/</w:t>
            </w:r>
            <w:r>
              <w:rPr>
                <w:rFonts w:ascii="Garamond" w:hAnsi="Garamond"/>
                <w:color w:val="000000"/>
              </w:rPr>
              <w:t xml:space="preserve">services are delivered on time </w:t>
            </w:r>
          </w:p>
        </w:tc>
      </w:tr>
      <w:tr w:rsidR="00D51F98" w:rsidRPr="00B27119" w14:paraId="100653FE" w14:textId="77777777" w:rsidTr="00DA7898">
        <w:trPr>
          <w:trHeight w:val="166"/>
          <w:jc w:val="center"/>
        </w:trPr>
        <w:tc>
          <w:tcPr>
            <w:tcW w:w="4142" w:type="dxa"/>
          </w:tcPr>
          <w:p w14:paraId="100653FA" w14:textId="416625A6" w:rsidR="00D51F98" w:rsidRPr="00B27119" w:rsidRDefault="00D51F98" w:rsidP="00F1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bears responsibility for decision making under the project </w:t>
            </w:r>
          </w:p>
        </w:tc>
        <w:tc>
          <w:tcPr>
            <w:tcW w:w="4142" w:type="dxa"/>
          </w:tcPr>
          <w:p w14:paraId="100653FD" w14:textId="3F971222" w:rsidR="00D51F98" w:rsidRPr="00B27119" w:rsidRDefault="00D51F98" w:rsidP="000C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provides goods or services to the recipient that are ancillary to the grant operation </w:t>
            </w:r>
          </w:p>
        </w:tc>
      </w:tr>
      <w:tr w:rsidR="00D51F98" w:rsidRPr="00B27119" w14:paraId="10065405" w14:textId="77777777" w:rsidTr="00DA7898">
        <w:trPr>
          <w:trHeight w:val="75"/>
          <w:jc w:val="center"/>
        </w:trPr>
        <w:tc>
          <w:tcPr>
            <w:tcW w:w="4142" w:type="dxa"/>
          </w:tcPr>
          <w:p w14:paraId="10065401" w14:textId="16F7B3D6" w:rsidR="00D51F98" w:rsidRPr="00B27119" w:rsidRDefault="00034107" w:rsidP="0003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uses the </w:t>
            </w:r>
            <w:r w:rsidR="00D51F98" w:rsidRPr="00B27119">
              <w:rPr>
                <w:rFonts w:ascii="Garamond" w:hAnsi="Garamond"/>
                <w:color w:val="000000"/>
              </w:rPr>
              <w:t>funds to carry out</w:t>
            </w:r>
            <w:r w:rsidR="00C24EC2">
              <w:rPr>
                <w:rFonts w:ascii="Garamond" w:hAnsi="Garamond"/>
                <w:color w:val="000000"/>
              </w:rPr>
              <w:t xml:space="preserve"> project-related activities</w:t>
            </w:r>
            <w:r w:rsidR="00D51F98" w:rsidRPr="00B27119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4142" w:type="dxa"/>
          </w:tcPr>
          <w:p w14:paraId="10065404" w14:textId="00B71F58" w:rsidR="00D51F98" w:rsidRPr="00B27119" w:rsidRDefault="00D51F98" w:rsidP="00F1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Verdana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is not subject to grant compliance requirements </w:t>
            </w:r>
          </w:p>
        </w:tc>
      </w:tr>
      <w:tr w:rsidR="00D51F98" w:rsidRPr="00B27119" w14:paraId="1006540C" w14:textId="77777777" w:rsidTr="00DA7898">
        <w:trPr>
          <w:trHeight w:val="75"/>
          <w:jc w:val="center"/>
        </w:trPr>
        <w:tc>
          <w:tcPr>
            <w:tcW w:w="4142" w:type="dxa"/>
          </w:tcPr>
          <w:p w14:paraId="10065408" w14:textId="64CF7801" w:rsidR="00D51F98" w:rsidRPr="00B27119" w:rsidRDefault="00D51F98" w:rsidP="00F1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aims to cover its costs </w:t>
            </w:r>
          </w:p>
        </w:tc>
        <w:tc>
          <w:tcPr>
            <w:tcW w:w="4142" w:type="dxa"/>
          </w:tcPr>
          <w:p w14:paraId="1006540B" w14:textId="317DC7C1" w:rsidR="00D51F98" w:rsidRPr="00B27119" w:rsidRDefault="00D51F98" w:rsidP="00F1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B27119">
              <w:rPr>
                <w:rFonts w:ascii="Garamond" w:hAnsi="Garamond"/>
                <w:color w:val="000000"/>
              </w:rPr>
              <w:t xml:space="preserve">aims to make a profit </w:t>
            </w:r>
          </w:p>
        </w:tc>
      </w:tr>
    </w:tbl>
    <w:p w14:paraId="1006540D" w14:textId="77777777" w:rsidR="00F14CEB" w:rsidRDefault="00F14CEB" w:rsidP="00034107"/>
    <w:sectPr w:rsidR="00F1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30BD" w14:textId="77777777" w:rsidR="00761E4E" w:rsidRDefault="00761E4E" w:rsidP="00D51F98">
      <w:pPr>
        <w:spacing w:after="0" w:line="240" w:lineRule="auto"/>
      </w:pPr>
      <w:r>
        <w:separator/>
      </w:r>
    </w:p>
  </w:endnote>
  <w:endnote w:type="continuationSeparator" w:id="0">
    <w:p w14:paraId="424912E1" w14:textId="77777777" w:rsidR="00761E4E" w:rsidRDefault="00761E4E" w:rsidP="00D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7F80" w14:textId="77777777" w:rsidR="00761E4E" w:rsidRDefault="00761E4E" w:rsidP="00D51F98">
      <w:pPr>
        <w:spacing w:after="0" w:line="240" w:lineRule="auto"/>
      </w:pPr>
      <w:r>
        <w:separator/>
      </w:r>
    </w:p>
  </w:footnote>
  <w:footnote w:type="continuationSeparator" w:id="0">
    <w:p w14:paraId="383BA1A6" w14:textId="77777777" w:rsidR="00761E4E" w:rsidRDefault="00761E4E" w:rsidP="00D51F98">
      <w:pPr>
        <w:spacing w:after="0" w:line="240" w:lineRule="auto"/>
      </w:pPr>
      <w:r>
        <w:continuationSeparator/>
      </w:r>
    </w:p>
  </w:footnote>
  <w:footnote w:id="1">
    <w:p w14:paraId="3CAFAC86" w14:textId="56349537" w:rsidR="009537E4" w:rsidRPr="00F124B1" w:rsidRDefault="009537E4" w:rsidP="00034107">
      <w:pPr>
        <w:pStyle w:val="FootnoteText"/>
        <w:spacing w:after="0" w:line="240" w:lineRule="auto"/>
        <w:ind w:firstLine="720"/>
        <w:jc w:val="both"/>
        <w:rPr>
          <w:rFonts w:ascii="Garamond" w:hAnsi="Garamond"/>
          <w:sz w:val="18"/>
          <w:szCs w:val="18"/>
        </w:rPr>
      </w:pPr>
      <w:r w:rsidRPr="002F716E">
        <w:rPr>
          <w:rFonts w:ascii="Garamond" w:hAnsi="Garamond"/>
          <w:sz w:val="18"/>
          <w:szCs w:val="18"/>
        </w:rPr>
        <w:t>(</w:t>
      </w:r>
      <w:r w:rsidRPr="002F716E">
        <w:rPr>
          <w:rFonts w:ascii="Garamond" w:hAnsi="Garamond"/>
          <w:sz w:val="18"/>
          <w:szCs w:val="18"/>
          <w:vertAlign w:val="superscript"/>
        </w:rPr>
        <w:footnoteRef/>
      </w:r>
      <w:r w:rsidRPr="002F716E">
        <w:rPr>
          <w:rFonts w:ascii="Garamond" w:hAnsi="Garamond"/>
          <w:sz w:val="18"/>
          <w:szCs w:val="18"/>
        </w:rPr>
        <w:t>)</w:t>
      </w:r>
      <w:r w:rsidR="00190C41" w:rsidRPr="002F716E">
        <w:rPr>
          <w:rFonts w:ascii="Garamond" w:hAnsi="Garamond"/>
          <w:sz w:val="18"/>
          <w:szCs w:val="18"/>
        </w:rPr>
        <w:t xml:space="preserve"> If sub</w:t>
      </w:r>
      <w:r w:rsidRPr="002F716E">
        <w:rPr>
          <w:rFonts w:ascii="Garamond" w:hAnsi="Garamond"/>
          <w:sz w:val="18"/>
          <w:szCs w:val="18"/>
        </w:rPr>
        <w:t xml:space="preserve">-recipients </w:t>
      </w:r>
      <w:r w:rsidR="00190C41" w:rsidRPr="002F716E">
        <w:rPr>
          <w:rFonts w:ascii="Garamond" w:hAnsi="Garamond"/>
          <w:sz w:val="18"/>
          <w:szCs w:val="18"/>
        </w:rPr>
        <w:t xml:space="preserve">are expected to </w:t>
      </w:r>
      <w:r w:rsidRPr="002F716E">
        <w:rPr>
          <w:rFonts w:ascii="Garamond" w:hAnsi="Garamond"/>
          <w:sz w:val="18"/>
          <w:szCs w:val="18"/>
        </w:rPr>
        <w:t xml:space="preserve">receive resources of USD 500,000 or more, </w:t>
      </w:r>
      <w:r w:rsidR="00190C41" w:rsidRPr="002F716E">
        <w:rPr>
          <w:rFonts w:ascii="Garamond" w:hAnsi="Garamond"/>
          <w:sz w:val="18"/>
          <w:szCs w:val="18"/>
        </w:rPr>
        <w:t xml:space="preserve">the submission of the </w:t>
      </w:r>
      <w:r w:rsidRPr="002F716E">
        <w:rPr>
          <w:rFonts w:ascii="Garamond" w:hAnsi="Garamond"/>
          <w:sz w:val="18"/>
          <w:szCs w:val="18"/>
        </w:rPr>
        <w:t>Financial Management Assessment Questionnaire (FMAQ) and the</w:t>
      </w:r>
      <w:r w:rsidR="00190C41" w:rsidRPr="002F716E">
        <w:rPr>
          <w:rFonts w:ascii="Garamond" w:hAnsi="Garamond"/>
          <w:sz w:val="18"/>
          <w:szCs w:val="18"/>
        </w:rPr>
        <w:t xml:space="preserve"> entity's </w:t>
      </w:r>
      <w:r w:rsidRPr="002F716E">
        <w:rPr>
          <w:rFonts w:ascii="Garamond" w:hAnsi="Garamond"/>
          <w:sz w:val="18"/>
          <w:szCs w:val="18"/>
        </w:rPr>
        <w:t>two most recent audited financial statements</w:t>
      </w:r>
      <w:r w:rsidR="00190C41" w:rsidRPr="002F716E">
        <w:rPr>
          <w:rFonts w:ascii="Garamond" w:hAnsi="Garamond"/>
          <w:sz w:val="18"/>
          <w:szCs w:val="18"/>
        </w:rPr>
        <w:t xml:space="preserve"> is required as part of </w:t>
      </w:r>
      <w:r w:rsidR="00986974" w:rsidRPr="002F716E">
        <w:rPr>
          <w:rFonts w:ascii="Garamond" w:hAnsi="Garamond"/>
          <w:sz w:val="18"/>
          <w:szCs w:val="18"/>
        </w:rPr>
        <w:t>the due diligence process</w:t>
      </w:r>
      <w:r w:rsidRPr="002F716E">
        <w:rPr>
          <w:rFonts w:ascii="Garamond" w:hAnsi="Garamond"/>
          <w:sz w:val="18"/>
          <w:szCs w:val="18"/>
        </w:rPr>
        <w:t>.</w:t>
      </w:r>
    </w:p>
  </w:footnote>
  <w:footnote w:id="2">
    <w:p w14:paraId="7C0DF2A3" w14:textId="77777777" w:rsidR="00034107" w:rsidRPr="0083668A" w:rsidRDefault="00034107" w:rsidP="00034107">
      <w:pPr>
        <w:pStyle w:val="FootnoteText"/>
        <w:spacing w:after="0" w:line="240" w:lineRule="auto"/>
        <w:ind w:firstLine="720"/>
        <w:jc w:val="both"/>
        <w:rPr>
          <w:rFonts w:ascii="Garamond" w:hAnsi="Garamond"/>
          <w:sz w:val="18"/>
          <w:szCs w:val="18"/>
        </w:rPr>
      </w:pPr>
      <w:r w:rsidRPr="0083668A">
        <w:rPr>
          <w:rFonts w:ascii="Garamond" w:hAnsi="Garamond"/>
          <w:sz w:val="18"/>
          <w:szCs w:val="18"/>
        </w:rPr>
        <w:t>(</w:t>
      </w:r>
      <w:r w:rsidRPr="0083668A">
        <w:rPr>
          <w:rStyle w:val="FootnoteReference"/>
          <w:rFonts w:ascii="Garamond" w:hAnsi="Garamond"/>
          <w:sz w:val="18"/>
          <w:szCs w:val="18"/>
        </w:rPr>
        <w:footnoteRef/>
      </w:r>
      <w:r w:rsidRPr="0083668A">
        <w:rPr>
          <w:rFonts w:ascii="Garamond" w:hAnsi="Garamond"/>
          <w:sz w:val="18"/>
          <w:szCs w:val="18"/>
        </w:rPr>
        <w:t xml:space="preserve">) IFAD will typically examine whether the recipient reviews the sub-recipient’s track record, financial standing, governance, internal controls, audit, transparency, reputation and references. IFAD also determines whether the process for selecting sub-recipients is transparent and </w:t>
      </w:r>
      <w:r>
        <w:rPr>
          <w:rFonts w:ascii="Garamond" w:hAnsi="Garamond"/>
          <w:sz w:val="18"/>
          <w:szCs w:val="18"/>
        </w:rPr>
        <w:t xml:space="preserve">follows </w:t>
      </w:r>
      <w:r w:rsidRPr="0083668A">
        <w:rPr>
          <w:rFonts w:ascii="Garamond" w:hAnsi="Garamond"/>
          <w:sz w:val="18"/>
          <w:szCs w:val="18"/>
        </w:rPr>
        <w:t xml:space="preserve">criteria </w:t>
      </w:r>
      <w:r>
        <w:rPr>
          <w:rFonts w:ascii="Garamond" w:hAnsi="Garamond"/>
          <w:sz w:val="18"/>
          <w:szCs w:val="18"/>
        </w:rPr>
        <w:t xml:space="preserve">that are </w:t>
      </w:r>
      <w:r w:rsidRPr="0083668A">
        <w:rPr>
          <w:rFonts w:ascii="Garamond" w:hAnsi="Garamond"/>
          <w:sz w:val="18"/>
          <w:szCs w:val="18"/>
        </w:rPr>
        <w:t xml:space="preserve">acceptable to the Fund.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DA7"/>
    <w:multiLevelType w:val="multilevel"/>
    <w:tmpl w:val="BD46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98"/>
    <w:rsid w:val="00005AAF"/>
    <w:rsid w:val="00006DE6"/>
    <w:rsid w:val="00012723"/>
    <w:rsid w:val="0001323C"/>
    <w:rsid w:val="00025D01"/>
    <w:rsid w:val="00027B38"/>
    <w:rsid w:val="00030426"/>
    <w:rsid w:val="00034107"/>
    <w:rsid w:val="000355EA"/>
    <w:rsid w:val="00042013"/>
    <w:rsid w:val="00050691"/>
    <w:rsid w:val="00051A22"/>
    <w:rsid w:val="00051A65"/>
    <w:rsid w:val="00055EBC"/>
    <w:rsid w:val="0007097B"/>
    <w:rsid w:val="00080151"/>
    <w:rsid w:val="000808E2"/>
    <w:rsid w:val="000909B3"/>
    <w:rsid w:val="00092601"/>
    <w:rsid w:val="000B7906"/>
    <w:rsid w:val="000C1826"/>
    <w:rsid w:val="000C5CAD"/>
    <w:rsid w:val="000D181B"/>
    <w:rsid w:val="000D1DD5"/>
    <w:rsid w:val="000D7901"/>
    <w:rsid w:val="000E3537"/>
    <w:rsid w:val="000F00CA"/>
    <w:rsid w:val="000F49BC"/>
    <w:rsid w:val="001025D6"/>
    <w:rsid w:val="00103FA2"/>
    <w:rsid w:val="001071BF"/>
    <w:rsid w:val="001145B4"/>
    <w:rsid w:val="00117A3B"/>
    <w:rsid w:val="00120BEF"/>
    <w:rsid w:val="0013302C"/>
    <w:rsid w:val="001421F3"/>
    <w:rsid w:val="00154DDF"/>
    <w:rsid w:val="001613A8"/>
    <w:rsid w:val="00172844"/>
    <w:rsid w:val="00184BA2"/>
    <w:rsid w:val="001879F2"/>
    <w:rsid w:val="00190C41"/>
    <w:rsid w:val="001A663F"/>
    <w:rsid w:val="001A6B50"/>
    <w:rsid w:val="001A71A0"/>
    <w:rsid w:val="001B0AB4"/>
    <w:rsid w:val="001C1C94"/>
    <w:rsid w:val="001C6F32"/>
    <w:rsid w:val="001D0D57"/>
    <w:rsid w:val="001D3618"/>
    <w:rsid w:val="001E6CDD"/>
    <w:rsid w:val="001E7470"/>
    <w:rsid w:val="00215594"/>
    <w:rsid w:val="00221162"/>
    <w:rsid w:val="0022668D"/>
    <w:rsid w:val="00230756"/>
    <w:rsid w:val="00232711"/>
    <w:rsid w:val="00257E97"/>
    <w:rsid w:val="00261F67"/>
    <w:rsid w:val="00266710"/>
    <w:rsid w:val="00291F2C"/>
    <w:rsid w:val="0029597F"/>
    <w:rsid w:val="00297218"/>
    <w:rsid w:val="002A4269"/>
    <w:rsid w:val="002B0079"/>
    <w:rsid w:val="002C4A4E"/>
    <w:rsid w:val="002C7FBB"/>
    <w:rsid w:val="002E0897"/>
    <w:rsid w:val="002F2238"/>
    <w:rsid w:val="002F716E"/>
    <w:rsid w:val="00316664"/>
    <w:rsid w:val="00317300"/>
    <w:rsid w:val="00322236"/>
    <w:rsid w:val="00326C78"/>
    <w:rsid w:val="0034674E"/>
    <w:rsid w:val="0038469F"/>
    <w:rsid w:val="003A7735"/>
    <w:rsid w:val="003B5923"/>
    <w:rsid w:val="003D11E6"/>
    <w:rsid w:val="003D1F17"/>
    <w:rsid w:val="003D20A9"/>
    <w:rsid w:val="003E704E"/>
    <w:rsid w:val="003F532D"/>
    <w:rsid w:val="003F5942"/>
    <w:rsid w:val="003F695A"/>
    <w:rsid w:val="004039D2"/>
    <w:rsid w:val="00415708"/>
    <w:rsid w:val="00420A35"/>
    <w:rsid w:val="00430120"/>
    <w:rsid w:val="00436D5A"/>
    <w:rsid w:val="00475908"/>
    <w:rsid w:val="00476806"/>
    <w:rsid w:val="00493C57"/>
    <w:rsid w:val="00496018"/>
    <w:rsid w:val="004B08C6"/>
    <w:rsid w:val="004B2918"/>
    <w:rsid w:val="004B38EE"/>
    <w:rsid w:val="004D28F0"/>
    <w:rsid w:val="004D3849"/>
    <w:rsid w:val="004F5AD5"/>
    <w:rsid w:val="00505CC9"/>
    <w:rsid w:val="005138EA"/>
    <w:rsid w:val="00531761"/>
    <w:rsid w:val="00535955"/>
    <w:rsid w:val="00540FDB"/>
    <w:rsid w:val="00551D01"/>
    <w:rsid w:val="00554906"/>
    <w:rsid w:val="00565288"/>
    <w:rsid w:val="00566F62"/>
    <w:rsid w:val="005A0E7A"/>
    <w:rsid w:val="005A58CF"/>
    <w:rsid w:val="005A5F6B"/>
    <w:rsid w:val="005B4D7E"/>
    <w:rsid w:val="005B7C36"/>
    <w:rsid w:val="005D298D"/>
    <w:rsid w:val="005D507A"/>
    <w:rsid w:val="005E0619"/>
    <w:rsid w:val="005E0D3D"/>
    <w:rsid w:val="005F044E"/>
    <w:rsid w:val="005F1F33"/>
    <w:rsid w:val="00604C2D"/>
    <w:rsid w:val="00605E8E"/>
    <w:rsid w:val="006138F2"/>
    <w:rsid w:val="00616AE1"/>
    <w:rsid w:val="0061747C"/>
    <w:rsid w:val="006335D7"/>
    <w:rsid w:val="00633B77"/>
    <w:rsid w:val="0065259F"/>
    <w:rsid w:val="006646A4"/>
    <w:rsid w:val="00677B73"/>
    <w:rsid w:val="006845E7"/>
    <w:rsid w:val="00686159"/>
    <w:rsid w:val="006964C4"/>
    <w:rsid w:val="006A6EF7"/>
    <w:rsid w:val="006B1AA7"/>
    <w:rsid w:val="006D59FD"/>
    <w:rsid w:val="006E52C5"/>
    <w:rsid w:val="006E5637"/>
    <w:rsid w:val="0071258F"/>
    <w:rsid w:val="007527FE"/>
    <w:rsid w:val="007533AB"/>
    <w:rsid w:val="00760DA3"/>
    <w:rsid w:val="00761E4E"/>
    <w:rsid w:val="00775481"/>
    <w:rsid w:val="007946AE"/>
    <w:rsid w:val="00794C29"/>
    <w:rsid w:val="0079641D"/>
    <w:rsid w:val="007B039C"/>
    <w:rsid w:val="007C4B6F"/>
    <w:rsid w:val="007C5E9A"/>
    <w:rsid w:val="007D1FF5"/>
    <w:rsid w:val="007E749A"/>
    <w:rsid w:val="007F7023"/>
    <w:rsid w:val="00800CF5"/>
    <w:rsid w:val="00802714"/>
    <w:rsid w:val="00805DB7"/>
    <w:rsid w:val="00811D4F"/>
    <w:rsid w:val="008201C7"/>
    <w:rsid w:val="00851706"/>
    <w:rsid w:val="00861539"/>
    <w:rsid w:val="008769B1"/>
    <w:rsid w:val="00893B74"/>
    <w:rsid w:val="008947F1"/>
    <w:rsid w:val="00895665"/>
    <w:rsid w:val="008A4CEF"/>
    <w:rsid w:val="008B1D88"/>
    <w:rsid w:val="008C74D7"/>
    <w:rsid w:val="008C7F20"/>
    <w:rsid w:val="008D5D99"/>
    <w:rsid w:val="008D70EC"/>
    <w:rsid w:val="008D75C5"/>
    <w:rsid w:val="008E6D0C"/>
    <w:rsid w:val="008E74BB"/>
    <w:rsid w:val="0090244A"/>
    <w:rsid w:val="009071EE"/>
    <w:rsid w:val="00912001"/>
    <w:rsid w:val="00914924"/>
    <w:rsid w:val="0091776B"/>
    <w:rsid w:val="0092225C"/>
    <w:rsid w:val="00932ED0"/>
    <w:rsid w:val="0094104D"/>
    <w:rsid w:val="0094634A"/>
    <w:rsid w:val="009475A1"/>
    <w:rsid w:val="009514F3"/>
    <w:rsid w:val="009537E4"/>
    <w:rsid w:val="00967ABB"/>
    <w:rsid w:val="00986974"/>
    <w:rsid w:val="00986EEE"/>
    <w:rsid w:val="0099157F"/>
    <w:rsid w:val="009A78C9"/>
    <w:rsid w:val="009D623F"/>
    <w:rsid w:val="009E362B"/>
    <w:rsid w:val="00A1009B"/>
    <w:rsid w:val="00A220FA"/>
    <w:rsid w:val="00A301B0"/>
    <w:rsid w:val="00A32D13"/>
    <w:rsid w:val="00A55710"/>
    <w:rsid w:val="00A56DFF"/>
    <w:rsid w:val="00A573C3"/>
    <w:rsid w:val="00A8149F"/>
    <w:rsid w:val="00A86A27"/>
    <w:rsid w:val="00AB64D2"/>
    <w:rsid w:val="00AC112C"/>
    <w:rsid w:val="00AC5E8F"/>
    <w:rsid w:val="00AC77D4"/>
    <w:rsid w:val="00AD0278"/>
    <w:rsid w:val="00AD470E"/>
    <w:rsid w:val="00AD667F"/>
    <w:rsid w:val="00AE098A"/>
    <w:rsid w:val="00AE6ACE"/>
    <w:rsid w:val="00AE7CB7"/>
    <w:rsid w:val="00AF6CC9"/>
    <w:rsid w:val="00B0581A"/>
    <w:rsid w:val="00B158F1"/>
    <w:rsid w:val="00B32156"/>
    <w:rsid w:val="00B4201D"/>
    <w:rsid w:val="00B62FAE"/>
    <w:rsid w:val="00B64869"/>
    <w:rsid w:val="00B72CF5"/>
    <w:rsid w:val="00B829E9"/>
    <w:rsid w:val="00B8561B"/>
    <w:rsid w:val="00B91F38"/>
    <w:rsid w:val="00B930B3"/>
    <w:rsid w:val="00B93D15"/>
    <w:rsid w:val="00BA67C9"/>
    <w:rsid w:val="00BA6B97"/>
    <w:rsid w:val="00BC2680"/>
    <w:rsid w:val="00BC3E56"/>
    <w:rsid w:val="00BD1D26"/>
    <w:rsid w:val="00BD5FEB"/>
    <w:rsid w:val="00BD6442"/>
    <w:rsid w:val="00BE0DC7"/>
    <w:rsid w:val="00BE5D3C"/>
    <w:rsid w:val="00BF208D"/>
    <w:rsid w:val="00BF2F4D"/>
    <w:rsid w:val="00BF35BD"/>
    <w:rsid w:val="00BF4700"/>
    <w:rsid w:val="00C00000"/>
    <w:rsid w:val="00C069FB"/>
    <w:rsid w:val="00C2215C"/>
    <w:rsid w:val="00C24EC2"/>
    <w:rsid w:val="00C27395"/>
    <w:rsid w:val="00C3229D"/>
    <w:rsid w:val="00C40E81"/>
    <w:rsid w:val="00C46CB6"/>
    <w:rsid w:val="00C510F6"/>
    <w:rsid w:val="00C66CF3"/>
    <w:rsid w:val="00C71E10"/>
    <w:rsid w:val="00C85945"/>
    <w:rsid w:val="00C868D5"/>
    <w:rsid w:val="00C90E12"/>
    <w:rsid w:val="00CA144D"/>
    <w:rsid w:val="00CB60B7"/>
    <w:rsid w:val="00CC2208"/>
    <w:rsid w:val="00CE0817"/>
    <w:rsid w:val="00CE676B"/>
    <w:rsid w:val="00CF4941"/>
    <w:rsid w:val="00D1511D"/>
    <w:rsid w:val="00D51F98"/>
    <w:rsid w:val="00D52293"/>
    <w:rsid w:val="00D61696"/>
    <w:rsid w:val="00D6495A"/>
    <w:rsid w:val="00D66A8D"/>
    <w:rsid w:val="00D811A6"/>
    <w:rsid w:val="00D827D8"/>
    <w:rsid w:val="00D84348"/>
    <w:rsid w:val="00D932A6"/>
    <w:rsid w:val="00DA3EC0"/>
    <w:rsid w:val="00DA482A"/>
    <w:rsid w:val="00DA5242"/>
    <w:rsid w:val="00DB0825"/>
    <w:rsid w:val="00DB186F"/>
    <w:rsid w:val="00DC43D5"/>
    <w:rsid w:val="00DC739D"/>
    <w:rsid w:val="00DD0166"/>
    <w:rsid w:val="00DD1265"/>
    <w:rsid w:val="00DD2BEF"/>
    <w:rsid w:val="00DD2BFA"/>
    <w:rsid w:val="00DD37CA"/>
    <w:rsid w:val="00DD570E"/>
    <w:rsid w:val="00DF16AF"/>
    <w:rsid w:val="00E01348"/>
    <w:rsid w:val="00E124E6"/>
    <w:rsid w:val="00E13D4B"/>
    <w:rsid w:val="00E1712E"/>
    <w:rsid w:val="00E2087A"/>
    <w:rsid w:val="00E24242"/>
    <w:rsid w:val="00E31884"/>
    <w:rsid w:val="00E34899"/>
    <w:rsid w:val="00E56C43"/>
    <w:rsid w:val="00E62345"/>
    <w:rsid w:val="00E6469D"/>
    <w:rsid w:val="00E658DD"/>
    <w:rsid w:val="00E67CED"/>
    <w:rsid w:val="00E70FC4"/>
    <w:rsid w:val="00E86C42"/>
    <w:rsid w:val="00E902CE"/>
    <w:rsid w:val="00EA42E8"/>
    <w:rsid w:val="00EA5097"/>
    <w:rsid w:val="00EB3DE0"/>
    <w:rsid w:val="00EB478D"/>
    <w:rsid w:val="00EB6595"/>
    <w:rsid w:val="00EC0505"/>
    <w:rsid w:val="00ED4DD4"/>
    <w:rsid w:val="00EE2E17"/>
    <w:rsid w:val="00EE4D11"/>
    <w:rsid w:val="00EF6230"/>
    <w:rsid w:val="00F00AB1"/>
    <w:rsid w:val="00F0268A"/>
    <w:rsid w:val="00F124B1"/>
    <w:rsid w:val="00F14CEB"/>
    <w:rsid w:val="00F2054B"/>
    <w:rsid w:val="00F24F0E"/>
    <w:rsid w:val="00F51184"/>
    <w:rsid w:val="00F614FF"/>
    <w:rsid w:val="00F64ECF"/>
    <w:rsid w:val="00F70EB1"/>
    <w:rsid w:val="00F7124F"/>
    <w:rsid w:val="00F72842"/>
    <w:rsid w:val="00F733C7"/>
    <w:rsid w:val="00F81C28"/>
    <w:rsid w:val="00F82881"/>
    <w:rsid w:val="00FA0D9A"/>
    <w:rsid w:val="00FA4CE3"/>
    <w:rsid w:val="00FB3B54"/>
    <w:rsid w:val="00FC42CB"/>
    <w:rsid w:val="00FE39A4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f,single space"/>
    <w:basedOn w:val="Normal"/>
    <w:link w:val="FootnoteTextChar"/>
    <w:uiPriority w:val="99"/>
    <w:unhideWhenUsed/>
    <w:qFormat/>
    <w:rsid w:val="00D51F98"/>
    <w:rPr>
      <w:sz w:val="24"/>
      <w:szCs w:val="24"/>
    </w:rPr>
  </w:style>
  <w:style w:type="character" w:customStyle="1" w:styleId="FootnoteTextChar">
    <w:name w:val="Footnote Text Char"/>
    <w:aliases w:val="ft Char,f Char,single space Char"/>
    <w:basedOn w:val="DefaultParagraphFont"/>
    <w:link w:val="FootnoteText"/>
    <w:uiPriority w:val="99"/>
    <w:rsid w:val="00D51F98"/>
    <w:rPr>
      <w:rFonts w:ascii="Calibri" w:eastAsia="Calibri" w:hAnsi="Calibri" w:cs="Arial"/>
      <w:sz w:val="24"/>
      <w:szCs w:val="24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D51F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F9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F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EF7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8EE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f,single space"/>
    <w:basedOn w:val="Normal"/>
    <w:link w:val="FootnoteTextChar"/>
    <w:uiPriority w:val="99"/>
    <w:unhideWhenUsed/>
    <w:qFormat/>
    <w:rsid w:val="00D51F98"/>
    <w:rPr>
      <w:sz w:val="24"/>
      <w:szCs w:val="24"/>
    </w:rPr>
  </w:style>
  <w:style w:type="character" w:customStyle="1" w:styleId="FootnoteTextChar">
    <w:name w:val="Footnote Text Char"/>
    <w:aliases w:val="ft Char,f Char,single space Char"/>
    <w:basedOn w:val="DefaultParagraphFont"/>
    <w:link w:val="FootnoteText"/>
    <w:uiPriority w:val="99"/>
    <w:rsid w:val="00D51F98"/>
    <w:rPr>
      <w:rFonts w:ascii="Calibri" w:eastAsia="Calibri" w:hAnsi="Calibri" w:cs="Arial"/>
      <w:sz w:val="24"/>
      <w:szCs w:val="24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D51F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F9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F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EF7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8E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nts xmlns="dba7887b-84fa-4750-959b-55001e22c136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A66B0E95CE4CB749AEBF4EE24269" ma:contentTypeVersion="7" ma:contentTypeDescription="Create a new document." ma:contentTypeScope="" ma:versionID="02bdadb0cf12aef190110f675d3f0335">
  <xsd:schema xmlns:xsd="http://www.w3.org/2001/XMLSchema" xmlns:xs="http://www.w3.org/2001/XMLSchema" xmlns:p="http://schemas.microsoft.com/office/2006/metadata/properties" xmlns:ns1="http://schemas.microsoft.com/sharepoint/v3" xmlns:ns2="dba7887b-84fa-4750-959b-55001e22c136" xmlns:ns3="http://schemas.microsoft.com/sharepoint/v4" targetNamespace="http://schemas.microsoft.com/office/2006/metadata/properties" ma:root="true" ma:fieldsID="4760d15239196e6408c2ff33a8326dd7" ns1:_="" ns2:_="" ns3:_="">
    <xsd:import namespace="http://schemas.microsoft.com/sharepoint/v3"/>
    <xsd:import namespace="dba7887b-84fa-4750-959b-55001e22c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sulta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887b-84fa-4750-959b-55001e22c136" elementFormDefault="qualified">
    <xsd:import namespace="http://schemas.microsoft.com/office/2006/documentManagement/types"/>
    <xsd:import namespace="http://schemas.microsoft.com/office/infopath/2007/PartnerControls"/>
    <xsd:element name="consultants" ma:index="8" nillable="true" ma:displayName="consultants" ma:internalName="consulta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EBE3-75AE-421A-89C9-0F62CEF8CBD0}">
  <ds:schemaRefs>
    <ds:schemaRef ds:uri="http://schemas.microsoft.com/office/2006/metadata/properties"/>
    <ds:schemaRef ds:uri="http://schemas.microsoft.com/office/infopath/2007/PartnerControls"/>
    <ds:schemaRef ds:uri="dba7887b-84fa-4750-959b-55001e22c136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201D2F6-44F1-4830-B540-8A5AB55E8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E9B7-0406-4248-A738-7BBE6E0E4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7887b-84fa-4750-959b-55001e22c1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1A03C-6C49-464E-A315-B63D690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Jaggia, Akash</dc:creator>
  <cp:lastModifiedBy>Lembo, Alessandro</cp:lastModifiedBy>
  <cp:revision>3</cp:revision>
  <cp:lastPrinted>2016-08-11T14:12:00Z</cp:lastPrinted>
  <dcterms:created xsi:type="dcterms:W3CDTF">2019-04-04T13:25:00Z</dcterms:created>
  <dcterms:modified xsi:type="dcterms:W3CDTF">2019-04-17T16:43:00Z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0x01010023A4A66B0E95CE4CB749AEBF4EE24269</vt:lpwstr>
  </property>
</Properties>
</file>