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F5" w:rsidRDefault="002649F5" w:rsidP="003E28C6">
      <w:pPr>
        <w:spacing w:after="0" w:line="240" w:lineRule="auto"/>
        <w:jc w:val="center"/>
        <w:rPr>
          <w:b/>
          <w:bCs/>
        </w:rPr>
      </w:pPr>
      <w:r w:rsidRPr="00800A15">
        <w:rPr>
          <w:b/>
          <w:bCs/>
        </w:rPr>
        <w:t xml:space="preserve">Concept </w:t>
      </w:r>
      <w:r w:rsidR="00B8628E">
        <w:rPr>
          <w:b/>
          <w:bCs/>
        </w:rPr>
        <w:t>Note</w:t>
      </w:r>
      <w:r w:rsidR="003E28C6">
        <w:rPr>
          <w:b/>
          <w:bCs/>
        </w:rPr>
        <w:t xml:space="preserve"> for Grant Proposals</w:t>
      </w:r>
    </w:p>
    <w:p w:rsidR="00F679E7" w:rsidRDefault="00B86A91" w:rsidP="00240D9E">
      <w:pPr>
        <w:spacing w:after="0" w:line="240" w:lineRule="auto"/>
        <w:jc w:val="center"/>
        <w:rPr>
          <w:b/>
          <w:bCs/>
        </w:rPr>
      </w:pPr>
      <w:r>
        <w:rPr>
          <w:b/>
          <w:bCs/>
        </w:rPr>
        <w:t xml:space="preserve">(Max </w:t>
      </w:r>
      <w:r w:rsidR="00240D9E">
        <w:rPr>
          <w:b/>
          <w:bCs/>
        </w:rPr>
        <w:t>2000 words</w:t>
      </w:r>
      <w:r>
        <w:rPr>
          <w:b/>
          <w:bCs/>
        </w:rPr>
        <w:t>)</w:t>
      </w:r>
    </w:p>
    <w:p w:rsidR="00B86A91" w:rsidRDefault="00B86A91" w:rsidP="003E28C6">
      <w:pPr>
        <w:spacing w:after="0" w:line="240" w:lineRule="auto"/>
        <w:jc w:val="cente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6C7AAD" w:rsidTr="00FA145D">
        <w:tc>
          <w:tcPr>
            <w:tcW w:w="10456" w:type="dxa"/>
          </w:tcPr>
          <w:tbl>
            <w:tblPr>
              <w:tblStyle w:val="TableGrid"/>
              <w:tblW w:w="0" w:type="auto"/>
              <w:tblLook w:val="0600" w:firstRow="0" w:lastRow="0" w:firstColumn="0" w:lastColumn="0" w:noHBand="1" w:noVBand="1"/>
            </w:tblPr>
            <w:tblGrid>
              <w:gridCol w:w="4807"/>
              <w:gridCol w:w="4556"/>
            </w:tblGrid>
            <w:tr w:rsidR="00B86A91" w:rsidRPr="008C5D5E" w:rsidTr="00A752C1">
              <w:trPr>
                <w:trHeight w:val="20"/>
              </w:trPr>
              <w:tc>
                <w:tcPr>
                  <w:tcW w:w="0" w:type="auto"/>
                </w:tcPr>
                <w:p w:rsidR="00AC7242" w:rsidRPr="008C5D5E" w:rsidRDefault="00460E82" w:rsidP="008C5D5E">
                  <w:pPr>
                    <w:rPr>
                      <w:b/>
                      <w:bCs/>
                    </w:rPr>
                  </w:pPr>
                  <w:r w:rsidRPr="008C5D5E">
                    <w:rPr>
                      <w:b/>
                      <w:bCs/>
                    </w:rPr>
                    <w:t xml:space="preserve">1. </w:t>
                  </w:r>
                  <w:r w:rsidR="004C4C11" w:rsidRPr="008C5D5E">
                    <w:rPr>
                      <w:b/>
                      <w:bCs/>
                    </w:rPr>
                    <w:t>Grant Sponsor</w:t>
                  </w:r>
                  <w:r w:rsidR="00240D9E" w:rsidRPr="008C5D5E">
                    <w:rPr>
                      <w:b/>
                      <w:bCs/>
                    </w:rPr>
                    <w:t>ing Division</w:t>
                  </w:r>
                  <w:r w:rsidR="00B86A91" w:rsidRPr="008C5D5E">
                    <w:rPr>
                      <w:b/>
                      <w:bCs/>
                    </w:rPr>
                    <w:t>:</w:t>
                  </w:r>
                  <w:r w:rsidR="00636E1D" w:rsidRPr="008C5D5E">
                    <w:rPr>
                      <w:b/>
                      <w:bCs/>
                    </w:rPr>
                    <w:t xml:space="preserve"> </w:t>
                  </w:r>
                  <w:r w:rsidR="00A71DC9" w:rsidRPr="008C5D5E">
                    <w:rPr>
                      <w:b/>
                      <w:bCs/>
                    </w:rPr>
                    <w:t>ECG</w:t>
                  </w:r>
                </w:p>
              </w:tc>
              <w:tc>
                <w:tcPr>
                  <w:tcW w:w="4556" w:type="dxa"/>
                </w:tcPr>
                <w:p w:rsidR="00B86A91" w:rsidRPr="008C5D5E" w:rsidRDefault="00020753" w:rsidP="008C5D5E">
                  <w:pPr>
                    <w:rPr>
                      <w:b/>
                      <w:bCs/>
                    </w:rPr>
                  </w:pPr>
                  <w:r w:rsidRPr="008C5D5E">
                    <w:rPr>
                      <w:b/>
                      <w:bCs/>
                    </w:rPr>
                    <w:t xml:space="preserve">2. </w:t>
                  </w:r>
                  <w:r w:rsidR="002946F8" w:rsidRPr="008C5D5E">
                    <w:rPr>
                      <w:b/>
                      <w:bCs/>
                    </w:rPr>
                    <w:t xml:space="preserve">Co-sponsoring </w:t>
                  </w:r>
                  <w:r w:rsidR="00B86A91" w:rsidRPr="008C5D5E">
                    <w:rPr>
                      <w:b/>
                      <w:bCs/>
                    </w:rPr>
                    <w:t>Division</w:t>
                  </w:r>
                  <w:r w:rsidR="007143ED" w:rsidRPr="008C5D5E">
                    <w:rPr>
                      <w:b/>
                      <w:bCs/>
                    </w:rPr>
                    <w:t>(s)</w:t>
                  </w:r>
                  <w:r w:rsidR="007143ED" w:rsidRPr="008C5D5E">
                    <w:rPr>
                      <w:rStyle w:val="FootnoteReference"/>
                      <w:b/>
                      <w:bCs/>
                    </w:rPr>
                    <w:footnoteReference w:id="1"/>
                  </w:r>
                  <w:r w:rsidR="00B86A91" w:rsidRPr="008C5D5E">
                    <w:rPr>
                      <w:b/>
                      <w:bCs/>
                    </w:rPr>
                    <w:t>:</w:t>
                  </w:r>
                  <w:r w:rsidR="00636E1D" w:rsidRPr="008C5D5E">
                    <w:rPr>
                      <w:b/>
                      <w:bCs/>
                    </w:rPr>
                    <w:t xml:space="preserve"> </w:t>
                  </w:r>
                  <w:r w:rsidR="00A71DC9" w:rsidRPr="008C5D5E">
                    <w:rPr>
                      <w:b/>
                      <w:bCs/>
                    </w:rPr>
                    <w:t>LAC</w:t>
                  </w:r>
                </w:p>
              </w:tc>
            </w:tr>
            <w:tr w:rsidR="00B86A91" w:rsidRPr="008C5D5E" w:rsidTr="006D553A">
              <w:trPr>
                <w:trHeight w:val="20"/>
              </w:trPr>
              <w:tc>
                <w:tcPr>
                  <w:tcW w:w="9363" w:type="dxa"/>
                  <w:gridSpan w:val="2"/>
                </w:tcPr>
                <w:p w:rsidR="00AC7242" w:rsidRPr="008C5D5E" w:rsidRDefault="00460E82" w:rsidP="008C5D5E">
                  <w:pPr>
                    <w:rPr>
                      <w:b/>
                      <w:bCs/>
                    </w:rPr>
                  </w:pPr>
                  <w:r w:rsidRPr="008C5D5E">
                    <w:rPr>
                      <w:b/>
                      <w:bCs/>
                    </w:rPr>
                    <w:t xml:space="preserve">3. </w:t>
                  </w:r>
                  <w:r w:rsidR="00B86A91" w:rsidRPr="008C5D5E">
                    <w:rPr>
                      <w:b/>
                      <w:bCs/>
                    </w:rPr>
                    <w:t xml:space="preserve">Title of the </w:t>
                  </w:r>
                  <w:r w:rsidR="002946F8" w:rsidRPr="008C5D5E">
                    <w:rPr>
                      <w:b/>
                      <w:bCs/>
                    </w:rPr>
                    <w:t>grant</w:t>
                  </w:r>
                  <w:r w:rsidR="00B86A91" w:rsidRPr="008C5D5E">
                    <w:rPr>
                      <w:b/>
                      <w:bCs/>
                    </w:rPr>
                    <w:t xml:space="preserve">: </w:t>
                  </w:r>
                  <w:r w:rsidR="00C17E7B" w:rsidRPr="008C5D5E">
                    <w:t>Powering Agriculture through Renewable Energy Technologies</w:t>
                  </w:r>
                  <w:r w:rsidR="00C17E7B" w:rsidRPr="008C5D5E">
                    <w:rPr>
                      <w:b/>
                      <w:bCs/>
                    </w:rPr>
                    <w:t xml:space="preserve"> </w:t>
                  </w:r>
                </w:p>
              </w:tc>
            </w:tr>
            <w:tr w:rsidR="00B86A91" w:rsidRPr="008C5D5E" w:rsidTr="006D553A">
              <w:trPr>
                <w:trHeight w:val="20"/>
              </w:trPr>
              <w:tc>
                <w:tcPr>
                  <w:tcW w:w="4807" w:type="dxa"/>
                </w:tcPr>
                <w:p w:rsidR="00AC7242" w:rsidRPr="008C5D5E" w:rsidRDefault="00460E82" w:rsidP="008C5D5E">
                  <w:r w:rsidRPr="008C5D5E">
                    <w:rPr>
                      <w:b/>
                      <w:bCs/>
                    </w:rPr>
                    <w:t xml:space="preserve">4. </w:t>
                  </w:r>
                  <w:r w:rsidR="00020753" w:rsidRPr="008C5D5E">
                    <w:rPr>
                      <w:b/>
                      <w:bCs/>
                    </w:rPr>
                    <w:t>Value</w:t>
                  </w:r>
                  <w:r w:rsidR="000D10E4" w:rsidRPr="008C5D5E">
                    <w:rPr>
                      <w:b/>
                      <w:bCs/>
                    </w:rPr>
                    <w:t xml:space="preserve"> of IFAD grant</w:t>
                  </w:r>
                  <w:r w:rsidR="00B86A91" w:rsidRPr="008C5D5E">
                    <w:rPr>
                      <w:b/>
                      <w:bCs/>
                    </w:rPr>
                    <w:t xml:space="preserve">: </w:t>
                  </w:r>
                  <w:r w:rsidR="003D30F9" w:rsidRPr="008C5D5E">
                    <w:t xml:space="preserve">US$ </w:t>
                  </w:r>
                  <w:r w:rsidR="009A4FC7" w:rsidRPr="008C5D5E">
                    <w:t xml:space="preserve">2 </w:t>
                  </w:r>
                  <w:r w:rsidR="003D30F9" w:rsidRPr="008C5D5E">
                    <w:t>million</w:t>
                  </w:r>
                </w:p>
              </w:tc>
              <w:tc>
                <w:tcPr>
                  <w:tcW w:w="4556" w:type="dxa"/>
                </w:tcPr>
                <w:p w:rsidR="00B86A91" w:rsidRPr="008C5D5E" w:rsidRDefault="00020753" w:rsidP="008C5D5E">
                  <w:pPr>
                    <w:rPr>
                      <w:b/>
                      <w:bCs/>
                    </w:rPr>
                  </w:pPr>
                  <w:r w:rsidRPr="008C5D5E">
                    <w:rPr>
                      <w:b/>
                      <w:bCs/>
                    </w:rPr>
                    <w:t xml:space="preserve">5. </w:t>
                  </w:r>
                  <w:r w:rsidR="00655D89" w:rsidRPr="008C5D5E">
                    <w:rPr>
                      <w:b/>
                      <w:bCs/>
                    </w:rPr>
                    <w:t>C</w:t>
                  </w:r>
                  <w:r w:rsidR="00B86A91" w:rsidRPr="008C5D5E">
                    <w:rPr>
                      <w:b/>
                      <w:bCs/>
                    </w:rPr>
                    <w:t>o-financing:</w:t>
                  </w:r>
                  <w:r w:rsidR="00675DE9" w:rsidRPr="008C5D5E">
                    <w:rPr>
                      <w:i/>
                      <w:iCs/>
                    </w:rPr>
                    <w:t xml:space="preserve"> </w:t>
                  </w:r>
                  <w:r w:rsidR="008F08BF" w:rsidRPr="008C5D5E">
                    <w:t xml:space="preserve">At least </w:t>
                  </w:r>
                  <w:r w:rsidR="00675DE9" w:rsidRPr="008C5D5E">
                    <w:t xml:space="preserve">USD $ </w:t>
                  </w:r>
                  <w:r w:rsidR="00E8574C" w:rsidRPr="008C5D5E">
                    <w:t xml:space="preserve">500 thousand </w:t>
                  </w:r>
                  <w:r w:rsidR="008F08BF" w:rsidRPr="008C5D5E">
                    <w:t>expected</w:t>
                  </w:r>
                </w:p>
              </w:tc>
            </w:tr>
            <w:tr w:rsidR="00B86A91" w:rsidRPr="008C5D5E" w:rsidTr="006D553A">
              <w:trPr>
                <w:trHeight w:val="20"/>
              </w:trPr>
              <w:tc>
                <w:tcPr>
                  <w:tcW w:w="4807" w:type="dxa"/>
                </w:tcPr>
                <w:p w:rsidR="00AC7242" w:rsidRPr="008C5D5E" w:rsidRDefault="00020753" w:rsidP="008C5D5E">
                  <w:r w:rsidRPr="008C5D5E">
                    <w:rPr>
                      <w:b/>
                      <w:bCs/>
                    </w:rPr>
                    <w:t xml:space="preserve">6. </w:t>
                  </w:r>
                  <w:r w:rsidR="00B86A91" w:rsidRPr="008C5D5E">
                    <w:rPr>
                      <w:b/>
                      <w:bCs/>
                    </w:rPr>
                    <w:t>Implementation period:</w:t>
                  </w:r>
                  <w:r w:rsidR="00B86A91" w:rsidRPr="008C5D5E">
                    <w:t xml:space="preserve"> </w:t>
                  </w:r>
                  <w:r w:rsidR="00F43106" w:rsidRPr="008C5D5E">
                    <w:t>36 months</w:t>
                  </w:r>
                </w:p>
              </w:tc>
              <w:tc>
                <w:tcPr>
                  <w:tcW w:w="4556" w:type="dxa"/>
                </w:tcPr>
                <w:p w:rsidR="00B86A91" w:rsidRPr="008C5D5E" w:rsidRDefault="00020753" w:rsidP="00937DAB">
                  <w:pPr>
                    <w:ind w:right="34"/>
                  </w:pPr>
                  <w:r w:rsidRPr="008C5D5E">
                    <w:rPr>
                      <w:b/>
                      <w:bCs/>
                    </w:rPr>
                    <w:t xml:space="preserve">7. </w:t>
                  </w:r>
                  <w:r w:rsidR="003561FB" w:rsidRPr="008C5D5E">
                    <w:rPr>
                      <w:b/>
                      <w:bCs/>
                    </w:rPr>
                    <w:t>GRIP</w:t>
                  </w:r>
                  <w:r w:rsidR="00EB2032" w:rsidRPr="008C5D5E">
                    <w:rPr>
                      <w:b/>
                      <w:bCs/>
                    </w:rPr>
                    <w:t>S</w:t>
                  </w:r>
                  <w:r w:rsidR="003561FB" w:rsidRPr="008C5D5E">
                    <w:rPr>
                      <w:b/>
                      <w:bCs/>
                    </w:rPr>
                    <w:t xml:space="preserve"> ID</w:t>
                  </w:r>
                  <w:r w:rsidR="003561FB" w:rsidRPr="008C5D5E">
                    <w:t>:</w:t>
                  </w:r>
                  <w:r w:rsidR="00636E1D" w:rsidRPr="008C5D5E">
                    <w:t xml:space="preserve"> </w:t>
                  </w:r>
                  <w:r w:rsidR="00E57360" w:rsidRPr="00E57360">
                    <w:t>2000002814</w:t>
                  </w:r>
                  <w:bookmarkStart w:id="0" w:name="_GoBack"/>
                  <w:bookmarkEnd w:id="0"/>
                </w:p>
              </w:tc>
            </w:tr>
            <w:tr w:rsidR="003561FB" w:rsidRPr="008C5D5E" w:rsidTr="006D553A">
              <w:trPr>
                <w:trHeight w:val="20"/>
              </w:trPr>
              <w:tc>
                <w:tcPr>
                  <w:tcW w:w="9363" w:type="dxa"/>
                  <w:gridSpan w:val="2"/>
                </w:tcPr>
                <w:p w:rsidR="003561FB" w:rsidRPr="008C5D5E" w:rsidRDefault="00020753" w:rsidP="008C5D5E">
                  <w:pPr>
                    <w:rPr>
                      <w:b/>
                      <w:bCs/>
                    </w:rPr>
                  </w:pPr>
                  <w:r w:rsidRPr="008C5D5E">
                    <w:rPr>
                      <w:b/>
                      <w:bCs/>
                    </w:rPr>
                    <w:t xml:space="preserve">8. Selected </w:t>
                  </w:r>
                  <w:r w:rsidR="004C4C11" w:rsidRPr="008C5D5E">
                    <w:rPr>
                      <w:b/>
                      <w:bCs/>
                    </w:rPr>
                    <w:t>Strategic Priority</w:t>
                  </w:r>
                  <w:r w:rsidR="003561FB" w:rsidRPr="008C5D5E">
                    <w:rPr>
                      <w:rStyle w:val="FootnoteReference"/>
                      <w:b/>
                      <w:bCs/>
                    </w:rPr>
                    <w:footnoteReference w:id="2"/>
                  </w:r>
                  <w:r w:rsidR="003561FB" w:rsidRPr="008C5D5E">
                    <w:rPr>
                      <w:b/>
                      <w:bCs/>
                    </w:rPr>
                    <w:t>:</w:t>
                  </w:r>
                  <w:r w:rsidR="00991304" w:rsidRPr="008C5D5E">
                    <w:rPr>
                      <w:b/>
                      <w:bCs/>
                    </w:rPr>
                    <w:t xml:space="preserve"> </w:t>
                  </w:r>
                  <w:sdt>
                    <w:sdtPr>
                      <w:rPr>
                        <w:b/>
                        <w:bCs/>
                      </w:rPr>
                      <w:alias w:val="Strategic Priority"/>
                      <w:tag w:val="Strategic Priority"/>
                      <w:id w:val="-1731923450"/>
                      <w:placeholder>
                        <w:docPart w:val="DefaultPlaceholder_1082065159"/>
                      </w:placeholder>
                      <w:dropDownList>
                        <w:listItem w:value="Choose an item."/>
                        <w:listItem w:displayText="1. Production for food security, nutrition and income generation" w:value="1. Production for food security, nutrition and income generation"/>
                        <w:listItem w:displayText="2. Climate change, resilience and environmental sustainabililty" w:value="2. Climate change, resilience and environmental sustainabililty"/>
                        <w:listItem w:displayText="3. Gender equality and women's empowerment" w:value="3. Gender equality and women's empowerment"/>
                        <w:listItem w:displayText="4. Opportunities for youth" w:value="4. Opportunities for youth"/>
                        <w:listItem w:displayText="5. Business opportunities and partnership with Private Sector" w:value="5. Business opportunities and partnership with Private Sector"/>
                        <w:listItem w:displayText="6. Strategic Priority Endorsed by EMC" w:value="6. Strategic Priority Endorsed by EMC"/>
                        <w:listItem w:displayText="Contributions" w:value="Contributions"/>
                        <w:listItem w:displayText="n/a (Country-specific)" w:value="n/a (Country-specific)"/>
                      </w:dropDownList>
                    </w:sdtPr>
                    <w:sdtEndPr/>
                    <w:sdtContent>
                      <w:r w:rsidR="00CC4762" w:rsidRPr="008C5D5E">
                        <w:rPr>
                          <w:b/>
                          <w:bCs/>
                        </w:rPr>
                        <w:t>2. Climate change, resilience and environmental sustainabililty</w:t>
                      </w:r>
                    </w:sdtContent>
                  </w:sdt>
                </w:p>
              </w:tc>
            </w:tr>
            <w:tr w:rsidR="00E318DB" w:rsidRPr="008C5D5E" w:rsidTr="00A752C1">
              <w:trPr>
                <w:trHeight w:val="20"/>
              </w:trPr>
              <w:tc>
                <w:tcPr>
                  <w:tcW w:w="0" w:type="auto"/>
                </w:tcPr>
                <w:p w:rsidR="00E318DB" w:rsidRPr="008C5D5E" w:rsidRDefault="00020753" w:rsidP="008C5D5E">
                  <w:pPr>
                    <w:tabs>
                      <w:tab w:val="left" w:pos="3225"/>
                    </w:tabs>
                    <w:ind w:right="34"/>
                  </w:pPr>
                  <w:r w:rsidRPr="008C5D5E">
                    <w:rPr>
                      <w:b/>
                      <w:bCs/>
                    </w:rPr>
                    <w:t xml:space="preserve">9. </w:t>
                  </w:r>
                  <w:r w:rsidR="00E318DB" w:rsidRPr="008C5D5E">
                    <w:rPr>
                      <w:b/>
                      <w:bCs/>
                    </w:rPr>
                    <w:t>Window:</w:t>
                  </w:r>
                  <w:r w:rsidR="00A27A99" w:rsidRPr="008C5D5E">
                    <w:t xml:space="preserve"> </w:t>
                  </w:r>
                  <w:r w:rsidR="002D57A0" w:rsidRPr="008C5D5E">
                    <w:t xml:space="preserve">Indicate </w:t>
                  </w:r>
                  <w:r w:rsidR="004C4C11" w:rsidRPr="008C5D5E">
                    <w:t>Global/Regional</w:t>
                  </w:r>
                  <w:r w:rsidR="002D57A0" w:rsidRPr="008C5D5E">
                    <w:t xml:space="preserve"> </w:t>
                  </w:r>
                  <w:sdt>
                    <w:sdtPr>
                      <w:id w:val="-134037019"/>
                      <w14:checkbox>
                        <w14:checked w14:val="1"/>
                        <w14:checkedState w14:val="2612" w14:font="MS Gothic"/>
                        <w14:uncheckedState w14:val="2610" w14:font="MS Gothic"/>
                      </w14:checkbox>
                    </w:sdtPr>
                    <w:sdtEndPr/>
                    <w:sdtContent>
                      <w:r w:rsidR="003D30F9" w:rsidRPr="008C5D5E">
                        <w:rPr>
                          <w:rFonts w:ascii="MS Gothic" w:eastAsia="MS Gothic" w:hAnsi="MS Gothic" w:cs="MS Gothic" w:hint="eastAsia"/>
                        </w:rPr>
                        <w:t>☒</w:t>
                      </w:r>
                    </w:sdtContent>
                  </w:sdt>
                  <w:r w:rsidR="002D57A0" w:rsidRPr="008C5D5E">
                    <w:t xml:space="preserve">Country </w:t>
                  </w:r>
                  <w:sdt>
                    <w:sdtPr>
                      <w:id w:val="490523960"/>
                      <w14:checkbox>
                        <w14:checked w14:val="0"/>
                        <w14:checkedState w14:val="2612" w14:font="MS Gothic"/>
                        <w14:uncheckedState w14:val="2610" w14:font="MS Gothic"/>
                      </w14:checkbox>
                    </w:sdtPr>
                    <w:sdtEndPr/>
                    <w:sdtContent>
                      <w:r w:rsidR="0009201B">
                        <w:rPr>
                          <w:rFonts w:ascii="MS Gothic" w:eastAsia="MS Gothic" w:hAnsi="MS Gothic" w:hint="eastAsia"/>
                        </w:rPr>
                        <w:t>☐</w:t>
                      </w:r>
                    </w:sdtContent>
                  </w:sdt>
                </w:p>
              </w:tc>
              <w:tc>
                <w:tcPr>
                  <w:tcW w:w="4556" w:type="dxa"/>
                </w:tcPr>
                <w:p w:rsidR="00AC7242" w:rsidRPr="008C5D5E" w:rsidRDefault="00020753" w:rsidP="008C5D5E">
                  <w:pPr>
                    <w:rPr>
                      <w:b/>
                      <w:bCs/>
                    </w:rPr>
                  </w:pPr>
                  <w:r w:rsidRPr="008C5D5E">
                    <w:rPr>
                      <w:b/>
                      <w:bCs/>
                    </w:rPr>
                    <w:t xml:space="preserve">10. </w:t>
                  </w:r>
                  <w:r w:rsidR="00E318DB" w:rsidRPr="008C5D5E">
                    <w:rPr>
                      <w:b/>
                      <w:bCs/>
                    </w:rPr>
                    <w:t>Country/Countries:</w:t>
                  </w:r>
                  <w:r w:rsidR="0028360B" w:rsidRPr="008C5D5E">
                    <w:rPr>
                      <w:b/>
                      <w:bCs/>
                    </w:rPr>
                    <w:t xml:space="preserve"> </w:t>
                  </w:r>
                  <w:r w:rsidR="009A4FC7" w:rsidRPr="008C5D5E">
                    <w:t xml:space="preserve">3 countries TBD </w:t>
                  </w:r>
                  <w:r w:rsidR="008F08BF" w:rsidRPr="008C5D5E">
                    <w:br/>
                  </w:r>
                  <w:r w:rsidR="009A4FC7" w:rsidRPr="008C5D5E">
                    <w:t>(1</w:t>
                  </w:r>
                  <w:r w:rsidR="008F08BF" w:rsidRPr="008C5D5E">
                    <w:t xml:space="preserve"> </w:t>
                  </w:r>
                  <w:r w:rsidR="009A4FC7" w:rsidRPr="008C5D5E">
                    <w:t>Southern Cone, 1 Mesoamerica, 1 Caribbean)</w:t>
                  </w:r>
                </w:p>
              </w:tc>
            </w:tr>
            <w:tr w:rsidR="00240D9E" w:rsidRPr="008C5D5E" w:rsidTr="00344A7C">
              <w:trPr>
                <w:trHeight w:val="20"/>
              </w:trPr>
              <w:tc>
                <w:tcPr>
                  <w:tcW w:w="9363" w:type="dxa"/>
                  <w:gridSpan w:val="2"/>
                </w:tcPr>
                <w:p w:rsidR="00240D9E" w:rsidRPr="008C5D5E" w:rsidRDefault="00240D9E" w:rsidP="008C5D5E">
                  <w:pPr>
                    <w:pStyle w:val="ListParagraph"/>
                    <w:ind w:left="0"/>
                    <w:contextualSpacing w:val="0"/>
                    <w:rPr>
                      <w:i/>
                      <w:iCs/>
                    </w:rPr>
                  </w:pPr>
                  <w:r w:rsidRPr="008C5D5E">
                    <w:rPr>
                      <w:b/>
                      <w:bCs/>
                    </w:rPr>
                    <w:t>11. Recipient:</w:t>
                  </w:r>
                  <w:r w:rsidRPr="008C5D5E">
                    <w:rPr>
                      <w:i/>
                      <w:iCs/>
                    </w:rPr>
                    <w:t xml:space="preserve"> </w:t>
                  </w:r>
                  <w:r w:rsidR="00CA1E56" w:rsidRPr="008C5D5E">
                    <w:rPr>
                      <w:i/>
                      <w:iCs/>
                    </w:rPr>
                    <w:t>S</w:t>
                  </w:r>
                  <w:r w:rsidR="00A14BDA" w:rsidRPr="008C5D5E">
                    <w:rPr>
                      <w:i/>
                      <w:iCs/>
                    </w:rPr>
                    <w:t xml:space="preserve">elect </w:t>
                  </w:r>
                  <w:r w:rsidR="00A14BDA" w:rsidRPr="008C5D5E">
                    <w:rPr>
                      <w:i/>
                      <w:iCs/>
                      <w:u w:val="single"/>
                    </w:rPr>
                    <w:t>one</w:t>
                  </w:r>
                  <w:r w:rsidR="00A14BDA" w:rsidRPr="008C5D5E">
                    <w:rPr>
                      <w:i/>
                      <w:iCs/>
                    </w:rPr>
                    <w:t xml:space="preserve"> of the following options</w:t>
                  </w:r>
                </w:p>
                <w:p w:rsidR="00240D9E" w:rsidRPr="008C5D5E" w:rsidRDefault="00405A64" w:rsidP="008C5D5E">
                  <w:pPr>
                    <w:pStyle w:val="ListParagraph"/>
                    <w:numPr>
                      <w:ilvl w:val="0"/>
                      <w:numId w:val="9"/>
                    </w:numPr>
                    <w:contextualSpacing w:val="0"/>
                  </w:pPr>
                  <w:r w:rsidRPr="008C5D5E">
                    <w:t>C</w:t>
                  </w:r>
                  <w:r w:rsidR="00240D9E" w:rsidRPr="008C5D5E">
                    <w:t xml:space="preserve">ompetitive selection at CN stage </w:t>
                  </w:r>
                  <w:sdt>
                    <w:sdtPr>
                      <w:id w:val="1504547759"/>
                      <w14:checkbox>
                        <w14:checked w14:val="0"/>
                        <w14:checkedState w14:val="2612" w14:font="MS Gothic"/>
                        <w14:uncheckedState w14:val="2610" w14:font="MS Gothic"/>
                      </w14:checkbox>
                    </w:sdtPr>
                    <w:sdtEndPr/>
                    <w:sdtContent>
                      <w:r w:rsidR="00926B2F" w:rsidRPr="008C5D5E">
                        <w:rPr>
                          <w:rFonts w:ascii="MS Gothic" w:eastAsia="MS Gothic" w:hAnsi="MS Gothic" w:cs="MS Gothic" w:hint="eastAsia"/>
                        </w:rPr>
                        <w:t>☐</w:t>
                      </w:r>
                    </w:sdtContent>
                  </w:sdt>
                  <w:r w:rsidR="00240D9E" w:rsidRPr="008C5D5E">
                    <w:t xml:space="preserve">   and name of recipient </w:t>
                  </w:r>
                </w:p>
                <w:p w:rsidR="00240D9E" w:rsidRPr="008C5D5E" w:rsidRDefault="00405A64" w:rsidP="008C5D5E">
                  <w:pPr>
                    <w:pStyle w:val="ListParagraph"/>
                    <w:numPr>
                      <w:ilvl w:val="0"/>
                      <w:numId w:val="9"/>
                    </w:numPr>
                    <w:contextualSpacing w:val="0"/>
                    <w:rPr>
                      <w:b/>
                      <w:bCs/>
                    </w:rPr>
                  </w:pPr>
                  <w:r w:rsidRPr="008C5D5E">
                    <w:t>T</w:t>
                  </w:r>
                  <w:r w:rsidR="00240D9E" w:rsidRPr="008C5D5E">
                    <w:t xml:space="preserve">o be selected competitively at </w:t>
                  </w:r>
                  <w:r w:rsidR="002946F8" w:rsidRPr="008C5D5E">
                    <w:t>d</w:t>
                  </w:r>
                  <w:r w:rsidR="00240D9E" w:rsidRPr="008C5D5E">
                    <w:t xml:space="preserve">esign stage  </w:t>
                  </w:r>
                  <w:sdt>
                    <w:sdtPr>
                      <w:id w:val="-181203726"/>
                      <w14:checkbox>
                        <w14:checked w14:val="1"/>
                        <w14:checkedState w14:val="2612" w14:font="MS Gothic"/>
                        <w14:uncheckedState w14:val="2610" w14:font="MS Gothic"/>
                      </w14:checkbox>
                    </w:sdtPr>
                    <w:sdtEndPr/>
                    <w:sdtContent>
                      <w:r w:rsidR="00926B2F" w:rsidRPr="008C5D5E">
                        <w:rPr>
                          <w:rFonts w:ascii="MS Gothic" w:eastAsia="MS Gothic" w:hAnsi="MS Gothic" w:cs="MS Gothic" w:hint="eastAsia"/>
                        </w:rPr>
                        <w:t>☒</w:t>
                      </w:r>
                    </w:sdtContent>
                  </w:sdt>
                </w:p>
                <w:p w:rsidR="00FC0D7C" w:rsidRPr="008C5D5E" w:rsidRDefault="00FC0D7C" w:rsidP="008C5D5E">
                  <w:pPr>
                    <w:pStyle w:val="ListParagraph"/>
                    <w:numPr>
                      <w:ilvl w:val="0"/>
                      <w:numId w:val="9"/>
                    </w:numPr>
                    <w:contextualSpacing w:val="0"/>
                    <w:rPr>
                      <w:i/>
                      <w:iCs/>
                    </w:rPr>
                  </w:pPr>
                  <w:r w:rsidRPr="008C5D5E">
                    <w:t xml:space="preserve">Direct selection </w:t>
                  </w:r>
                  <w:sdt>
                    <w:sdtPr>
                      <w:id w:val="-208805017"/>
                      <w14:checkbox>
                        <w14:checked w14:val="0"/>
                        <w14:checkedState w14:val="2612" w14:font="MS Gothic"/>
                        <w14:uncheckedState w14:val="2610" w14:font="MS Gothic"/>
                      </w14:checkbox>
                    </w:sdtPr>
                    <w:sdtEndPr/>
                    <w:sdtContent>
                      <w:r w:rsidR="00937DAB">
                        <w:rPr>
                          <w:rFonts w:ascii="MS Gothic" w:eastAsia="MS Gothic" w:hAnsi="MS Gothic" w:hint="eastAsia"/>
                        </w:rPr>
                        <w:t>☐</w:t>
                      </w:r>
                    </w:sdtContent>
                  </w:sdt>
                  <w:r w:rsidRPr="008C5D5E">
                    <w:t xml:space="preserve">   and name of recipient</w:t>
                  </w:r>
                </w:p>
              </w:tc>
            </w:tr>
            <w:tr w:rsidR="00240D9E" w:rsidRPr="008C5D5E" w:rsidTr="00344A7C">
              <w:trPr>
                <w:trHeight w:val="20"/>
              </w:trPr>
              <w:tc>
                <w:tcPr>
                  <w:tcW w:w="9363" w:type="dxa"/>
                  <w:gridSpan w:val="2"/>
                </w:tcPr>
                <w:p w:rsidR="00D54709" w:rsidRPr="008C5D5E" w:rsidRDefault="00240D9E" w:rsidP="008C5D5E">
                  <w:pPr>
                    <w:pStyle w:val="ListParagraph"/>
                    <w:ind w:left="0"/>
                    <w:contextualSpacing w:val="0"/>
                    <w:rPr>
                      <w:b/>
                      <w:bCs/>
                    </w:rPr>
                  </w:pPr>
                  <w:r w:rsidRPr="008C5D5E">
                    <w:rPr>
                      <w:b/>
                      <w:bCs/>
                    </w:rPr>
                    <w:t xml:space="preserve">12. Rationale for recipient selection and recipient capacity: </w:t>
                  </w:r>
                </w:p>
                <w:p w:rsidR="00F613FC" w:rsidRPr="008C5D5E" w:rsidRDefault="003D30F9" w:rsidP="00937DAB">
                  <w:pPr>
                    <w:pStyle w:val="ListParagraph"/>
                    <w:ind w:left="0"/>
                    <w:contextualSpacing w:val="0"/>
                  </w:pPr>
                  <w:r w:rsidRPr="008C5D5E">
                    <w:t>The selection process will be competitive, based on institutional terms of reference (TOR) to be developed</w:t>
                  </w:r>
                  <w:r w:rsidR="00E6690C" w:rsidRPr="008C5D5E">
                    <w:t>.</w:t>
                  </w:r>
                  <w:r w:rsidR="00D82A09" w:rsidRPr="008C5D5E">
                    <w:t xml:space="preserve"> </w:t>
                  </w:r>
                  <w:r w:rsidR="00E6690C" w:rsidRPr="008C5D5E">
                    <w:t>P</w:t>
                  </w:r>
                  <w:r w:rsidR="00D82A09" w:rsidRPr="008C5D5E">
                    <w:t>otential organizations with the required capacity that could support the project have already been identified</w:t>
                  </w:r>
                  <w:r w:rsidRPr="008C5D5E">
                    <w:t xml:space="preserve">. </w:t>
                  </w:r>
                  <w:r w:rsidR="00D82A09" w:rsidRPr="008C5D5E">
                    <w:t xml:space="preserve">The institution should be set up for the implementation and evaluation of small scale </w:t>
                  </w:r>
                  <w:r w:rsidR="00937DAB" w:rsidRPr="008C5D5E">
                    <w:t>Renewable Energy Technologies (RETs)</w:t>
                  </w:r>
                  <w:r w:rsidR="00D82A09" w:rsidRPr="008C5D5E">
                    <w:t xml:space="preserve"> for production and post production processes in agriculture. </w:t>
                  </w:r>
                  <w:r w:rsidRPr="008C5D5E">
                    <w:t xml:space="preserve">It will be critical for the implementing institution to </w:t>
                  </w:r>
                  <w:proofErr w:type="spellStart"/>
                  <w:r w:rsidR="00F87E27" w:rsidRPr="008C5D5E">
                    <w:t>i</w:t>
                  </w:r>
                  <w:proofErr w:type="spellEnd"/>
                  <w:r w:rsidR="00F87E27" w:rsidRPr="008C5D5E">
                    <w:t xml:space="preserve">) </w:t>
                  </w:r>
                  <w:r w:rsidRPr="008C5D5E">
                    <w:t xml:space="preserve">have strong technical experience in </w:t>
                  </w:r>
                  <w:r w:rsidR="00513F44" w:rsidRPr="008C5D5E">
                    <w:t>RETs applied to the agricultural sector</w:t>
                  </w:r>
                  <w:r w:rsidR="00F87E27" w:rsidRPr="008C5D5E">
                    <w:t>, ii) proven experience developing micro financing schemes, iii) proven experience mobilizing additional resources and/or the capacity to provide it</w:t>
                  </w:r>
                  <w:r w:rsidR="00675DE9" w:rsidRPr="008C5D5E">
                    <w:t>s own resources</w:t>
                  </w:r>
                  <w:r w:rsidR="00F87E27" w:rsidRPr="008C5D5E">
                    <w:t>, iv) presence and experience in the region, v) proven experience analysing best practices</w:t>
                  </w:r>
                  <w:r w:rsidR="00D82A09" w:rsidRPr="008C5D5E">
                    <w:t>, developing case studies and trainings</w:t>
                  </w:r>
                  <w:r w:rsidR="00675DE9" w:rsidRPr="008C5D5E">
                    <w:t>, and vi)</w:t>
                  </w:r>
                  <w:r w:rsidR="00513F44" w:rsidRPr="008C5D5E">
                    <w:t xml:space="preserve"> </w:t>
                  </w:r>
                  <w:r w:rsidR="00E6690C" w:rsidRPr="008C5D5E">
                    <w:t>possible c</w:t>
                  </w:r>
                  <w:r w:rsidRPr="008C5D5E">
                    <w:t>ooperation with partner in</w:t>
                  </w:r>
                  <w:r w:rsidR="00926B2F" w:rsidRPr="008C5D5E">
                    <w:t>stitutions in the region</w:t>
                  </w:r>
                  <w:r w:rsidR="00E6690C" w:rsidRPr="008C5D5E">
                    <w:t>.</w:t>
                  </w:r>
                </w:p>
              </w:tc>
            </w:tr>
            <w:tr w:rsidR="00240D9E" w:rsidRPr="008C5D5E" w:rsidTr="00344A7C">
              <w:trPr>
                <w:trHeight w:val="20"/>
              </w:trPr>
              <w:tc>
                <w:tcPr>
                  <w:tcW w:w="9363" w:type="dxa"/>
                  <w:gridSpan w:val="2"/>
                </w:tcPr>
                <w:p w:rsidR="00D54709" w:rsidRPr="008C5D5E" w:rsidRDefault="00240D9E" w:rsidP="008C5D5E">
                  <w:pPr>
                    <w:rPr>
                      <w:b/>
                      <w:bCs/>
                    </w:rPr>
                  </w:pPr>
                  <w:r w:rsidRPr="008C5D5E">
                    <w:rPr>
                      <w:b/>
                      <w:bCs/>
                    </w:rPr>
                    <w:t xml:space="preserve">13. Background/relevance:  </w:t>
                  </w:r>
                </w:p>
                <w:p w:rsidR="00216810" w:rsidRPr="008C5D5E" w:rsidRDefault="00113088" w:rsidP="008C5D5E">
                  <w:pPr>
                    <w:jc w:val="both"/>
                  </w:pPr>
                  <w:r w:rsidRPr="008C5D5E">
                    <w:t xml:space="preserve">As </w:t>
                  </w:r>
                  <w:r w:rsidR="00E6690C" w:rsidRPr="008C5D5E">
                    <w:t>outlined</w:t>
                  </w:r>
                  <w:r w:rsidRPr="008C5D5E">
                    <w:t xml:space="preserve"> in IFAD</w:t>
                  </w:r>
                  <w:r w:rsidR="00E6690C" w:rsidRPr="008C5D5E">
                    <w:t>’</w:t>
                  </w:r>
                  <w:r w:rsidRPr="008C5D5E">
                    <w:t>s Renewable Energy for Smallholder Agriculture (RESA) approach, l</w:t>
                  </w:r>
                  <w:r w:rsidR="00D82A09" w:rsidRPr="008C5D5E">
                    <w:t>imited access to energy represents a critical barrier to the sustainable development of smallholder agricultural production and related value chains</w:t>
                  </w:r>
                  <w:r w:rsidR="0038102C" w:rsidRPr="008C5D5E">
                    <w:t xml:space="preserve"> (RESA, 2018)</w:t>
                  </w:r>
                  <w:r w:rsidR="00E6690C" w:rsidRPr="008C5D5E">
                    <w:t>.</w:t>
                  </w:r>
                  <w:r w:rsidR="00D82A09" w:rsidRPr="008C5D5E">
                    <w:t xml:space="preserve"> Many countries in the region current</w:t>
                  </w:r>
                  <w:r w:rsidR="0038102C" w:rsidRPr="008C5D5E">
                    <w:t>ly</w:t>
                  </w:r>
                  <w:r w:rsidR="00D82A09" w:rsidRPr="008C5D5E">
                    <w:t xml:space="preserve"> have limited energy sources, which are costly or powered by fossil fuels, causing target groups to rely on diesel, kerosene and biomass both for production processes and household use, damaging the environment and affecting user's health. Moreover, farmers tend to be risk averse towards new technologies, and have difficulties paying higher up-front costs creating additional challenges for a sustainable transition towards renewable energies.</w:t>
                  </w:r>
                </w:p>
                <w:p w:rsidR="00DE1345" w:rsidRPr="008C5D5E" w:rsidRDefault="00DE1345" w:rsidP="008C5D5E">
                  <w:pPr>
                    <w:jc w:val="both"/>
                  </w:pPr>
                </w:p>
                <w:p w:rsidR="00CD717F" w:rsidRPr="008C5D5E" w:rsidRDefault="00E6690C" w:rsidP="008C5D5E">
                  <w:pPr>
                    <w:jc w:val="both"/>
                  </w:pPr>
                  <w:r w:rsidRPr="008C5D5E">
                    <w:t>A</w:t>
                  </w:r>
                  <w:r w:rsidR="0038102C" w:rsidRPr="008C5D5E">
                    <w:t xml:space="preserve">ccess to Renewable Energy Technologies (RETs) offers an unprecedented opportunity to accelerate the transition to clean energy and to provide multiple benefits for rural households, communities, and the environment (RESA, 2018). </w:t>
                  </w:r>
                  <w:r w:rsidR="000915B0" w:rsidRPr="008C5D5E">
                    <w:t>RETs can provide clean energy at a competitive price. Furthermore, a</w:t>
                  </w:r>
                  <w:r w:rsidR="00CC390E" w:rsidRPr="008C5D5E">
                    <w:t xml:space="preserve"> reliable </w:t>
                  </w:r>
                  <w:r w:rsidR="00CC4762" w:rsidRPr="008C5D5E">
                    <w:t xml:space="preserve">source of energy </w:t>
                  </w:r>
                  <w:r w:rsidR="00CC390E" w:rsidRPr="008C5D5E">
                    <w:t xml:space="preserve">can lead to multiple benefits </w:t>
                  </w:r>
                  <w:r w:rsidR="00CC4762" w:rsidRPr="008C5D5E">
                    <w:t>for smallholde</w:t>
                  </w:r>
                  <w:r w:rsidR="00CC390E" w:rsidRPr="008C5D5E">
                    <w:t>r farmers. It is expected to improve</w:t>
                  </w:r>
                  <w:r w:rsidR="00CC4762" w:rsidRPr="008C5D5E">
                    <w:t xml:space="preserve"> agricultural production</w:t>
                  </w:r>
                  <w:r w:rsidR="00CC390E" w:rsidRPr="008C5D5E">
                    <w:t xml:space="preserve"> and post-production activities. Examples are</w:t>
                  </w:r>
                  <w:r w:rsidR="00CC4762" w:rsidRPr="008C5D5E">
                    <w:t xml:space="preserve"> pumping water for irrigation, fish farming, livesto</w:t>
                  </w:r>
                  <w:r w:rsidR="00CC390E" w:rsidRPr="008C5D5E">
                    <w:t>ck rearing, primary processing, followed by value-adding processes as grinding, drying and packaging</w:t>
                  </w:r>
                  <w:r w:rsidR="00CC4762" w:rsidRPr="008C5D5E">
                    <w:t xml:space="preserve">. Many of these activities require only small amounts of </w:t>
                  </w:r>
                  <w:r w:rsidR="00CC390E" w:rsidRPr="008C5D5E">
                    <w:t xml:space="preserve">power (from 100W to 3kW). To put this into perspective, </w:t>
                  </w:r>
                  <w:r w:rsidR="00CC4762" w:rsidRPr="008C5D5E">
                    <w:t xml:space="preserve">motorized milling </w:t>
                  </w:r>
                  <w:r w:rsidR="00CC390E" w:rsidRPr="008C5D5E">
                    <w:t>could reduce</w:t>
                  </w:r>
                  <w:r w:rsidR="00F613FC" w:rsidRPr="008C5D5E">
                    <w:t xml:space="preserve"> grinding </w:t>
                  </w:r>
                  <w:r w:rsidR="00CC4762" w:rsidRPr="008C5D5E">
                    <w:t xml:space="preserve">from anywhere between 8 - 15 hours to a mere 10 minutes </w:t>
                  </w:r>
                  <w:r w:rsidR="00F613FC" w:rsidRPr="008C5D5E">
                    <w:t xml:space="preserve">to </w:t>
                  </w:r>
                  <w:r w:rsidR="00926B2F" w:rsidRPr="008C5D5E">
                    <w:t>produce</w:t>
                  </w:r>
                  <w:r w:rsidR="00F613FC" w:rsidRPr="008C5D5E">
                    <w:t xml:space="preserve"> the same amount of maize. </w:t>
                  </w:r>
                  <w:r w:rsidR="00CC4762" w:rsidRPr="008C5D5E">
                    <w:t>(IIED, 2012).</w:t>
                  </w:r>
                  <w:r w:rsidR="00CD717F" w:rsidRPr="008C5D5E">
                    <w:t xml:space="preserve"> </w:t>
                  </w:r>
                </w:p>
                <w:p w:rsidR="00DE1345" w:rsidRPr="008C5D5E" w:rsidRDefault="00DE1345" w:rsidP="008C5D5E">
                  <w:pPr>
                    <w:jc w:val="both"/>
                  </w:pPr>
                </w:p>
                <w:p w:rsidR="0038102C" w:rsidRPr="008C5D5E" w:rsidRDefault="0038102C" w:rsidP="008C5D5E">
                  <w:pPr>
                    <w:jc w:val="both"/>
                  </w:pPr>
                  <w:r w:rsidRPr="008C5D5E">
                    <w:t xml:space="preserve">In this regard, Renewable Energy Technologies (RETs) provide new opportunities for IFAD to promote sustainable production with increased efficiency and reduced energy costs, resulting in lower environmental impacts of agricultural practices and enhanced community resilience. It will promote </w:t>
                  </w:r>
                  <w:r w:rsidRPr="008C5D5E">
                    <w:lastRenderedPageBreak/>
                    <w:t>and accelerate the transition to clean energy</w:t>
                  </w:r>
                  <w:r w:rsidR="000915B0" w:rsidRPr="008C5D5E">
                    <w:t xml:space="preserve">. </w:t>
                  </w:r>
                  <w:r w:rsidRPr="008C5D5E">
                    <w:t xml:space="preserve">Furthermore, a sustainable transition towards RETs within IFAD operations, falls in line with IFAD 11 commitments to </w:t>
                  </w:r>
                  <w:r w:rsidRPr="008C5D5E">
                    <w:rPr>
                      <w:i/>
                      <w:iCs/>
                    </w:rPr>
                    <w:t>mainstream climate and environmental sustainability including expanding efforts on mitigation</w:t>
                  </w:r>
                  <w:r w:rsidRPr="008C5D5E">
                    <w:t>, as well as provide a window to further support member states with their Nationally Determined Contributions (NDCs).</w:t>
                  </w:r>
                </w:p>
                <w:p w:rsidR="0038102C" w:rsidRPr="008C5D5E" w:rsidRDefault="0038102C" w:rsidP="008C5D5E">
                  <w:pPr>
                    <w:jc w:val="both"/>
                  </w:pPr>
                </w:p>
                <w:p w:rsidR="00CE2131" w:rsidRDefault="000915B0" w:rsidP="008C5D5E">
                  <w:pPr>
                    <w:jc w:val="both"/>
                  </w:pPr>
                  <w:r w:rsidRPr="008C5D5E">
                    <w:t>This grant design w</w:t>
                  </w:r>
                  <w:r w:rsidR="00CE2131" w:rsidRPr="008C5D5E">
                    <w:t xml:space="preserve">ill be informed by an </w:t>
                  </w:r>
                  <w:r w:rsidRPr="008C5D5E">
                    <w:t xml:space="preserve">ASAP2 </w:t>
                  </w:r>
                  <w:r w:rsidR="00CE2131" w:rsidRPr="008C5D5E">
                    <w:t>project</w:t>
                  </w:r>
                  <w:r w:rsidRPr="008C5D5E">
                    <w:t xml:space="preserve"> </w:t>
                  </w:r>
                  <w:r w:rsidR="00E4590A" w:rsidRPr="008C5D5E">
                    <w:t xml:space="preserve">to evaluate the economic return of RETs under development in LAC, WCA, and APR. After an initial stocktake, two case studies for LAC will be developed in Brazil (DOM HELDER CAMARA) and Dominican Republic (PRORURAL CENTRO Y ESTE). The selection was based on several criteria: </w:t>
                  </w:r>
                  <w:proofErr w:type="spellStart"/>
                  <w:r w:rsidR="00E4590A" w:rsidRPr="008C5D5E">
                    <w:t>i</w:t>
                  </w:r>
                  <w:proofErr w:type="spellEnd"/>
                  <w:r w:rsidR="00E4590A" w:rsidRPr="008C5D5E">
                    <w:t>) presence of RETs in the country NDCs (with focus on its implementation in agriculture), ii) possibility and prioritization established in the COSOPs, iii) the characteristics of the single projects, iv) country level data on its current use of RETs, and v) countries with investments already on the ground to facilitate and expedite data collection. Through the development of these case studies</w:t>
                  </w:r>
                  <w:r w:rsidR="00CE2E31" w:rsidRPr="008C5D5E">
                    <w:t>, a</w:t>
                  </w:r>
                  <w:r w:rsidRPr="008C5D5E">
                    <w:t xml:space="preserve"> methodology to evaluate potentials and opportunities of incorporating RETs into IFAD projects</w:t>
                  </w:r>
                  <w:r w:rsidR="00CE2E31" w:rsidRPr="008C5D5E">
                    <w:t xml:space="preserve"> will be produced, based on</w:t>
                  </w:r>
                  <w:r w:rsidRPr="008C5D5E">
                    <w:t xml:space="preserve"> </w:t>
                  </w:r>
                  <w:r w:rsidR="00CE2E31" w:rsidRPr="008C5D5E">
                    <w:t>t</w:t>
                  </w:r>
                  <w:r w:rsidRPr="008C5D5E">
                    <w:t>echnical, economic and financial ass</w:t>
                  </w:r>
                  <w:r w:rsidR="00103058">
                    <w:t>essments along the value chain.</w:t>
                  </w:r>
                </w:p>
                <w:p w:rsidR="00103058" w:rsidRDefault="00103058" w:rsidP="008C5D5E">
                  <w:pPr>
                    <w:jc w:val="both"/>
                  </w:pPr>
                </w:p>
                <w:p w:rsidR="00EA4F8B" w:rsidRPr="008C5D5E" w:rsidRDefault="00103058" w:rsidP="00DF4F60">
                  <w:pPr>
                    <w:jc w:val="both"/>
                  </w:pPr>
                  <w:r>
                    <w:t xml:space="preserve">The ECG-LAC team has reached out to the private sector </w:t>
                  </w:r>
                  <w:r w:rsidR="00DF4F60">
                    <w:t>team in PMI, w</w:t>
                  </w:r>
                  <w:r w:rsidR="00EA4F8B">
                    <w:t xml:space="preserve">ho are prepared to provide strategic guidance and recommendations to ensure proposal is attractive to the private sector, aligned with our internal policies, and </w:t>
                  </w:r>
                  <w:r w:rsidR="00DF4F60">
                    <w:t xml:space="preserve">technically </w:t>
                  </w:r>
                  <w:r w:rsidR="00EA4F8B">
                    <w:t xml:space="preserve">viable </w:t>
                  </w:r>
                  <w:r w:rsidR="00DF4F60">
                    <w:t xml:space="preserve">within the context of the </w:t>
                  </w:r>
                  <w:r w:rsidR="00DF4F60" w:rsidRPr="00DF4F60">
                    <w:t>Private Sector Engagement Strategy 2019-2024</w:t>
                  </w:r>
                  <w:r w:rsidR="00DF4F60">
                    <w:t>. Further collaborations will be sought out at design stage.</w:t>
                  </w:r>
                </w:p>
              </w:tc>
            </w:tr>
            <w:tr w:rsidR="00655D89" w:rsidRPr="008C5D5E" w:rsidTr="00A14BDA">
              <w:trPr>
                <w:trHeight w:val="20"/>
              </w:trPr>
              <w:tc>
                <w:tcPr>
                  <w:tcW w:w="9363" w:type="dxa"/>
                  <w:gridSpan w:val="2"/>
                </w:tcPr>
                <w:p w:rsidR="00D54709" w:rsidRPr="008C5D5E" w:rsidRDefault="00240D9E" w:rsidP="008C5D5E">
                  <w:pPr>
                    <w:rPr>
                      <w:b/>
                      <w:bCs/>
                    </w:rPr>
                  </w:pPr>
                  <w:r w:rsidRPr="008C5D5E">
                    <w:rPr>
                      <w:b/>
                      <w:bCs/>
                    </w:rPr>
                    <w:lastRenderedPageBreak/>
                    <w:t>14</w:t>
                  </w:r>
                  <w:r w:rsidR="00020753" w:rsidRPr="008C5D5E">
                    <w:rPr>
                      <w:b/>
                      <w:bCs/>
                    </w:rPr>
                    <w:t xml:space="preserve">. </w:t>
                  </w:r>
                  <w:r w:rsidR="00655D89" w:rsidRPr="008C5D5E">
                    <w:rPr>
                      <w:b/>
                      <w:bCs/>
                    </w:rPr>
                    <w:t xml:space="preserve">Direct and indirect </w:t>
                  </w:r>
                  <w:r w:rsidR="00B61D25" w:rsidRPr="008C5D5E">
                    <w:rPr>
                      <w:b/>
                      <w:bCs/>
                    </w:rPr>
                    <w:t>target group</w:t>
                  </w:r>
                  <w:r w:rsidR="00655D89" w:rsidRPr="008C5D5E">
                    <w:rPr>
                      <w:b/>
                      <w:bCs/>
                    </w:rPr>
                    <w:t xml:space="preserve">: </w:t>
                  </w:r>
                </w:p>
                <w:p w:rsidR="00D54709" w:rsidRPr="008C5D5E" w:rsidRDefault="009920DB" w:rsidP="008C5D5E">
                  <w:pPr>
                    <w:rPr>
                      <w:b/>
                      <w:bCs/>
                    </w:rPr>
                  </w:pPr>
                  <w:r w:rsidRPr="008C5D5E">
                    <w:t>The direct target group will be of 2800 beneficiaries, inclusive of</w:t>
                  </w:r>
                  <w:r w:rsidR="00532731" w:rsidRPr="008C5D5E">
                    <w:t xml:space="preserve"> smallholder</w:t>
                  </w:r>
                  <w:r w:rsidRPr="008C5D5E">
                    <w:t xml:space="preserve"> farmers, </w:t>
                  </w:r>
                  <w:r w:rsidR="00532731" w:rsidRPr="008C5D5E">
                    <w:t>producers</w:t>
                  </w:r>
                  <w:r w:rsidRPr="008C5D5E">
                    <w:t xml:space="preserve"> associations  and members of medium to large enterprises, receiving finance, TA and training to incorporate RETs in their operations. This is based on the </w:t>
                  </w:r>
                  <w:r w:rsidR="00C5571C" w:rsidRPr="008C5D5E">
                    <w:t xml:space="preserve">expected </w:t>
                  </w:r>
                  <w:r w:rsidRPr="008C5D5E">
                    <w:t>minimum investment in RETs installations of USD 1.5 Million , generating 500 Kw</w:t>
                  </w:r>
                  <w:r w:rsidR="00C5571C" w:rsidRPr="008C5D5E">
                    <w:t xml:space="preserve"> of electricity</w:t>
                  </w:r>
                  <w:r w:rsidRPr="008C5D5E">
                    <w:t>. In addition, we estimate 300 people benefiting from trainings and policy dialogues.</w:t>
                  </w:r>
                  <w:r w:rsidR="00532731" w:rsidRPr="008C5D5E">
                    <w:t xml:space="preserve"> </w:t>
                  </w:r>
                  <w:r w:rsidR="00CD717F" w:rsidRPr="008C5D5E">
                    <w:t xml:space="preserve">The indirect group expands to all community members that will benefit from higher productivity, better access to food and higher income. It will also lead to </w:t>
                  </w:r>
                  <w:r w:rsidR="00E22283" w:rsidRPr="008C5D5E">
                    <w:t xml:space="preserve">a </w:t>
                  </w:r>
                  <w:r w:rsidR="00CD717F" w:rsidRPr="008C5D5E">
                    <w:t>reduction of</w:t>
                  </w:r>
                  <w:r w:rsidR="00CD3197" w:rsidRPr="008C5D5E">
                    <w:t xml:space="preserve"> GHG emissions, access to electricity and substitution of solid fuels or Diesel with renewable energy sources. </w:t>
                  </w:r>
                </w:p>
              </w:tc>
            </w:tr>
            <w:tr w:rsidR="007143ED" w:rsidRPr="008C5D5E" w:rsidTr="00A14BDA">
              <w:trPr>
                <w:trHeight w:val="20"/>
              </w:trPr>
              <w:tc>
                <w:tcPr>
                  <w:tcW w:w="9363" w:type="dxa"/>
                  <w:gridSpan w:val="2"/>
                </w:tcPr>
                <w:p w:rsidR="00AC7242" w:rsidRPr="008C5D5E" w:rsidRDefault="00240D9E" w:rsidP="008C5D5E">
                  <w:pPr>
                    <w:pStyle w:val="ListParagraph"/>
                    <w:ind w:left="0"/>
                    <w:contextualSpacing w:val="0"/>
                    <w:rPr>
                      <w:i/>
                      <w:iCs/>
                    </w:rPr>
                  </w:pPr>
                  <w:r w:rsidRPr="008C5D5E">
                    <w:rPr>
                      <w:b/>
                      <w:bCs/>
                    </w:rPr>
                    <w:t>15</w:t>
                  </w:r>
                  <w:r w:rsidR="00020753" w:rsidRPr="008C5D5E">
                    <w:rPr>
                      <w:b/>
                      <w:bCs/>
                    </w:rPr>
                    <w:t xml:space="preserve">. </w:t>
                  </w:r>
                  <w:r w:rsidR="00FA145D" w:rsidRPr="008C5D5E">
                    <w:rPr>
                      <w:b/>
                      <w:bCs/>
                    </w:rPr>
                    <w:t>Goal,</w:t>
                  </w:r>
                  <w:r w:rsidR="007143ED" w:rsidRPr="008C5D5E">
                    <w:rPr>
                      <w:b/>
                      <w:bCs/>
                    </w:rPr>
                    <w:t xml:space="preserve"> objectives and expected outcomes: </w:t>
                  </w:r>
                </w:p>
                <w:p w:rsidR="007033EC" w:rsidRPr="008C5D5E" w:rsidRDefault="00245B07" w:rsidP="008C5D5E">
                  <w:pPr>
                    <w:rPr>
                      <w:b/>
                      <w:bCs/>
                    </w:rPr>
                  </w:pPr>
                  <w:r w:rsidRPr="008C5D5E">
                    <w:t xml:space="preserve">The </w:t>
                  </w:r>
                  <w:r w:rsidR="00460984" w:rsidRPr="008C5D5E">
                    <w:t>goal of the project is to sustainably</w:t>
                  </w:r>
                  <w:r w:rsidR="0057316E" w:rsidRPr="008C5D5E">
                    <w:t xml:space="preserve"> incorporate renewable energy technologies in</w:t>
                  </w:r>
                  <w:r w:rsidR="00E77AC4" w:rsidRPr="008C5D5E">
                    <w:t xml:space="preserve"> at least</w:t>
                  </w:r>
                  <w:r w:rsidR="0057316E" w:rsidRPr="008C5D5E">
                    <w:t xml:space="preserve"> three </w:t>
                  </w:r>
                  <w:r w:rsidR="006263A2" w:rsidRPr="008C5D5E">
                    <w:t>IFAD operations</w:t>
                  </w:r>
                  <w:r w:rsidR="0057316E" w:rsidRPr="008C5D5E">
                    <w:t xml:space="preserve"> in </w:t>
                  </w:r>
                  <w:r w:rsidR="00976B0D" w:rsidRPr="008C5D5E">
                    <w:t xml:space="preserve">the </w:t>
                  </w:r>
                  <w:r w:rsidR="0057316E" w:rsidRPr="008C5D5E">
                    <w:t>LAC</w:t>
                  </w:r>
                  <w:r w:rsidR="00976B0D" w:rsidRPr="008C5D5E">
                    <w:t xml:space="preserve"> region</w:t>
                  </w:r>
                  <w:r w:rsidR="00460984" w:rsidRPr="008C5D5E">
                    <w:t>, and demonstrate</w:t>
                  </w:r>
                  <w:r w:rsidR="006263A2" w:rsidRPr="008C5D5E">
                    <w:t xml:space="preserve"> the added value of renewable energy for </w:t>
                  </w:r>
                  <w:r w:rsidR="00532731" w:rsidRPr="008C5D5E">
                    <w:t>climate resilience in agriculture.</w:t>
                  </w:r>
                  <w:r w:rsidR="00460984" w:rsidRPr="008C5D5E">
                    <w:t xml:space="preserve"> </w:t>
                  </w:r>
                  <w:r w:rsidRPr="008C5D5E">
                    <w:t>Its objective</w:t>
                  </w:r>
                  <w:r w:rsidR="00460984" w:rsidRPr="008C5D5E">
                    <w:t xml:space="preserve"> </w:t>
                  </w:r>
                  <w:r w:rsidRPr="008C5D5E">
                    <w:t xml:space="preserve">is to </w:t>
                  </w:r>
                  <w:r w:rsidR="009920DB" w:rsidRPr="008C5D5E">
                    <w:t>successfully support the implementation of RETs</w:t>
                  </w:r>
                  <w:r w:rsidR="00532731" w:rsidRPr="008C5D5E">
                    <w:t xml:space="preserve"> for </w:t>
                  </w:r>
                  <w:r w:rsidR="00705AFF" w:rsidRPr="008C5D5E">
                    <w:t>smallholder farmers, producers associations and members of medium to large enterprises</w:t>
                  </w:r>
                  <w:r w:rsidR="009920DB" w:rsidRPr="008C5D5E">
                    <w:t>, applying</w:t>
                  </w:r>
                  <w:r w:rsidR="00460984" w:rsidRPr="008C5D5E">
                    <w:t xml:space="preserve"> </w:t>
                  </w:r>
                  <w:r w:rsidRPr="008C5D5E">
                    <w:t>the knowledge acquired from the ASAP</w:t>
                  </w:r>
                  <w:r w:rsidR="00F10E6C" w:rsidRPr="008C5D5E">
                    <w:t>2</w:t>
                  </w:r>
                  <w:r w:rsidRPr="008C5D5E">
                    <w:t xml:space="preserve"> </w:t>
                  </w:r>
                  <w:r w:rsidR="00F10E6C" w:rsidRPr="008C5D5E">
                    <w:t xml:space="preserve">grant </w:t>
                  </w:r>
                  <w:r w:rsidRPr="008C5D5E">
                    <w:t>project “Powering Agriculture through RETs”</w:t>
                  </w:r>
                  <w:r w:rsidR="009920DB" w:rsidRPr="008C5D5E">
                    <w:t>.</w:t>
                  </w:r>
                  <w:r w:rsidRPr="008C5D5E">
                    <w:t xml:space="preserve"> </w:t>
                  </w:r>
                  <w:r w:rsidR="006F34B1" w:rsidRPr="008C5D5E">
                    <w:t xml:space="preserve">The expected outcomes are a) </w:t>
                  </w:r>
                  <w:r w:rsidR="0075485F" w:rsidRPr="008C5D5E">
                    <w:t xml:space="preserve">assess </w:t>
                  </w:r>
                  <w:r w:rsidR="006F34B1" w:rsidRPr="008C5D5E">
                    <w:t xml:space="preserve">the potential economic enhancement and improved climate resilience within smallholder </w:t>
                  </w:r>
                  <w:r w:rsidR="00E77AC4" w:rsidRPr="008C5D5E">
                    <w:t>farmers</w:t>
                  </w:r>
                  <w:r w:rsidR="006F34B1" w:rsidRPr="008C5D5E">
                    <w:t xml:space="preserve"> and medium-large enterprises, as result of RETs project implementation </w:t>
                  </w:r>
                  <w:r w:rsidR="00DE4030" w:rsidRPr="008C5D5E">
                    <w:t xml:space="preserve">b) build </w:t>
                  </w:r>
                  <w:r w:rsidR="006F34B1" w:rsidRPr="008C5D5E">
                    <w:t xml:space="preserve">up </w:t>
                  </w:r>
                  <w:r w:rsidR="00DE4030" w:rsidRPr="008C5D5E">
                    <w:t xml:space="preserve">knowledge on procedures, </w:t>
                  </w:r>
                  <w:r w:rsidR="0075485F" w:rsidRPr="008C5D5E">
                    <w:t xml:space="preserve">possible </w:t>
                  </w:r>
                  <w:r w:rsidR="00DE4030" w:rsidRPr="008C5D5E">
                    <w:t>barriers</w:t>
                  </w:r>
                  <w:r w:rsidR="0075485F" w:rsidRPr="008C5D5E">
                    <w:t xml:space="preserve"> encountered and benefits obtained through the implementation of </w:t>
                  </w:r>
                  <w:r w:rsidR="00DE4030" w:rsidRPr="008C5D5E">
                    <w:t xml:space="preserve">RETs </w:t>
                  </w:r>
                  <w:r w:rsidR="006F34B1" w:rsidRPr="008C5D5E">
                    <w:t>in</w:t>
                  </w:r>
                  <w:r w:rsidR="00DE4030" w:rsidRPr="008C5D5E">
                    <w:t xml:space="preserve"> IFAD projects </w:t>
                  </w:r>
                  <w:r w:rsidR="00F10E6C" w:rsidRPr="008C5D5E">
                    <w:t xml:space="preserve">in the region, </w:t>
                  </w:r>
                  <w:r w:rsidR="00DE4030" w:rsidRPr="008C5D5E">
                    <w:t xml:space="preserve">and c) </w:t>
                  </w:r>
                  <w:r w:rsidR="00CE2131" w:rsidRPr="008C5D5E">
                    <w:t xml:space="preserve">develop a scaling plan, including training material, partnership building, and strategies to address identified barriers to support the </w:t>
                  </w:r>
                  <w:r w:rsidR="00F10E6C" w:rsidRPr="008C5D5E">
                    <w:t>adoption of RETs</w:t>
                  </w:r>
                  <w:r w:rsidR="00CE2E31" w:rsidRPr="008C5D5E">
                    <w:t xml:space="preserve"> across the LAC </w:t>
                  </w:r>
                  <w:r w:rsidR="00F10E6C" w:rsidRPr="008C5D5E">
                    <w:t>portfolio</w:t>
                  </w:r>
                  <w:r w:rsidR="006263A2" w:rsidRPr="008C5D5E">
                    <w:t>.</w:t>
                  </w:r>
                  <w:r w:rsidR="00BB6D12" w:rsidRPr="008C5D5E">
                    <w:t xml:space="preserve"> </w:t>
                  </w:r>
                </w:p>
              </w:tc>
            </w:tr>
            <w:tr w:rsidR="007143ED" w:rsidRPr="008C5D5E" w:rsidTr="00A14BDA">
              <w:trPr>
                <w:trHeight w:val="20"/>
              </w:trPr>
              <w:tc>
                <w:tcPr>
                  <w:tcW w:w="9363" w:type="dxa"/>
                  <w:gridSpan w:val="2"/>
                </w:tcPr>
                <w:p w:rsidR="00AC7242" w:rsidRPr="008C5D5E" w:rsidRDefault="00240D9E" w:rsidP="008C5D5E">
                  <w:pPr>
                    <w:pStyle w:val="ListParagraph"/>
                    <w:ind w:left="0"/>
                    <w:contextualSpacing w:val="0"/>
                    <w:rPr>
                      <w:b/>
                      <w:bCs/>
                    </w:rPr>
                  </w:pPr>
                  <w:r w:rsidRPr="008C5D5E">
                    <w:rPr>
                      <w:b/>
                      <w:bCs/>
                    </w:rPr>
                    <w:t>16</w:t>
                  </w:r>
                  <w:r w:rsidR="00020753" w:rsidRPr="008C5D5E">
                    <w:rPr>
                      <w:b/>
                      <w:bCs/>
                    </w:rPr>
                    <w:t xml:space="preserve">. </w:t>
                  </w:r>
                  <w:r w:rsidR="007143ED" w:rsidRPr="008C5D5E">
                    <w:rPr>
                      <w:b/>
                      <w:bCs/>
                    </w:rPr>
                    <w:t>Key activities</w:t>
                  </w:r>
                  <w:r w:rsidR="00636E1D" w:rsidRPr="008C5D5E">
                    <w:rPr>
                      <w:b/>
                      <w:bCs/>
                    </w:rPr>
                    <w:t xml:space="preserve"> by component</w:t>
                  </w:r>
                  <w:r w:rsidR="007143ED" w:rsidRPr="008C5D5E">
                    <w:rPr>
                      <w:b/>
                      <w:bCs/>
                    </w:rPr>
                    <w:t>:</w:t>
                  </w:r>
                  <w:r w:rsidR="00636E1D" w:rsidRPr="008C5D5E">
                    <w:rPr>
                      <w:b/>
                      <w:bCs/>
                    </w:rPr>
                    <w:t xml:space="preserve"> </w:t>
                  </w:r>
                </w:p>
                <w:p w:rsidR="00374221" w:rsidRPr="008C5D5E" w:rsidRDefault="00BF23C7" w:rsidP="008C5D5E">
                  <w:pPr>
                    <w:pStyle w:val="ListParagraph"/>
                    <w:ind w:left="0"/>
                    <w:contextualSpacing w:val="0"/>
                  </w:pPr>
                  <w:r w:rsidRPr="008C5D5E">
                    <w:t xml:space="preserve">The selected organization will be tasked with </w:t>
                  </w:r>
                  <w:proofErr w:type="spellStart"/>
                  <w:r w:rsidRPr="008C5D5E">
                    <w:t>i</w:t>
                  </w:r>
                  <w:proofErr w:type="spellEnd"/>
                  <w:r w:rsidRPr="008C5D5E">
                    <w:t>) establishing public/private partnerships and utilizing grant funds to leverage co-financing for the promotion of a switch to RETs; ii) foster policy dialogues and trainings on best practices of renewable energy utilization in agricultural value chains; iii) produce and promote KM material showcasing the mitigation, adaptation and economic benefits of RETs integration into agricultural processes</w:t>
                  </w:r>
                  <w:r w:rsidR="00D21304" w:rsidRPr="008C5D5E">
                    <w:t>, as well as the broader benefits of RETs on IFAD mainstreaming priorities</w:t>
                  </w:r>
                  <w:r w:rsidR="00761145" w:rsidRPr="008C5D5E">
                    <w:t>.</w:t>
                  </w:r>
                  <w:r w:rsidRPr="008C5D5E">
                    <w:t xml:space="preserve"> </w:t>
                  </w:r>
                  <w:r w:rsidR="00761145" w:rsidRPr="008C5D5E">
                    <w:t xml:space="preserve">This will be developed through three mutually reinforcing components that include: </w:t>
                  </w:r>
                </w:p>
                <w:p w:rsidR="00BF23C7" w:rsidRPr="008C5D5E" w:rsidRDefault="00BF23C7" w:rsidP="008C5D5E">
                  <w:pPr>
                    <w:pStyle w:val="ListParagraph"/>
                    <w:ind w:left="0"/>
                    <w:contextualSpacing w:val="0"/>
                    <w:rPr>
                      <w:b/>
                      <w:bCs/>
                    </w:rPr>
                  </w:pPr>
                </w:p>
                <w:p w:rsidR="00BF23C7" w:rsidRPr="008C5D5E" w:rsidRDefault="00D54709" w:rsidP="008C5D5E">
                  <w:pPr>
                    <w:pStyle w:val="ListParagraph"/>
                    <w:ind w:left="0"/>
                    <w:contextualSpacing w:val="0"/>
                    <w:rPr>
                      <w:b/>
                      <w:bCs/>
                    </w:rPr>
                  </w:pPr>
                  <w:r w:rsidRPr="008C5D5E">
                    <w:rPr>
                      <w:b/>
                      <w:bCs/>
                    </w:rPr>
                    <w:t xml:space="preserve">Component 1: </w:t>
                  </w:r>
                  <w:r w:rsidR="00BF23C7" w:rsidRPr="008C5D5E">
                    <w:rPr>
                      <w:b/>
                      <w:bCs/>
                    </w:rPr>
                    <w:t xml:space="preserve">PPPs for a </w:t>
                  </w:r>
                  <w:r w:rsidR="00622ADA" w:rsidRPr="008C5D5E">
                    <w:rPr>
                      <w:b/>
                      <w:bCs/>
                    </w:rPr>
                    <w:t>Sustainable</w:t>
                  </w:r>
                  <w:r w:rsidR="00BF23C7" w:rsidRPr="008C5D5E">
                    <w:rPr>
                      <w:b/>
                      <w:bCs/>
                    </w:rPr>
                    <w:t xml:space="preserve"> switch to RETs</w:t>
                  </w:r>
                </w:p>
                <w:p w:rsidR="0085419A" w:rsidRPr="008C5D5E" w:rsidRDefault="0085419A" w:rsidP="008C5D5E">
                  <w:pPr>
                    <w:pStyle w:val="ListParagraph"/>
                    <w:ind w:left="0"/>
                    <w:contextualSpacing w:val="0"/>
                    <w:rPr>
                      <w:i/>
                      <w:iCs/>
                    </w:rPr>
                  </w:pPr>
                  <w:r w:rsidRPr="008C5D5E">
                    <w:t>The objective of the component will be to build successful</w:t>
                  </w:r>
                  <w:r w:rsidR="00761145" w:rsidRPr="008C5D5E">
                    <w:t xml:space="preserve"> partnerships that foster </w:t>
                  </w:r>
                  <w:r w:rsidRPr="008C5D5E">
                    <w:t xml:space="preserve">experiences in the </w:t>
                  </w:r>
                  <w:r w:rsidRPr="008C5D5E">
                    <w:lastRenderedPageBreak/>
                    <w:t xml:space="preserve">incorporation of renewable energy technologies for agricultural process and will provide two windows: </w:t>
                  </w:r>
                </w:p>
                <w:p w:rsidR="0085419A" w:rsidRPr="008C5D5E" w:rsidRDefault="0047429E" w:rsidP="008C5D5E">
                  <w:pPr>
                    <w:pStyle w:val="ListParagraph"/>
                    <w:contextualSpacing w:val="0"/>
                    <w:rPr>
                      <w:i/>
                      <w:iCs/>
                    </w:rPr>
                  </w:pPr>
                  <w:r w:rsidRPr="008C5D5E">
                    <w:rPr>
                      <w:i/>
                      <w:iCs/>
                    </w:rPr>
                    <w:t xml:space="preserve">a) </w:t>
                  </w:r>
                  <w:r w:rsidR="00761145" w:rsidRPr="008C5D5E">
                    <w:rPr>
                      <w:i/>
                      <w:iCs/>
                    </w:rPr>
                    <w:t xml:space="preserve">development and implementation of </w:t>
                  </w:r>
                  <w:r w:rsidRPr="008C5D5E">
                    <w:rPr>
                      <w:i/>
                      <w:iCs/>
                    </w:rPr>
                    <w:t>micro-financing schemes for smallholder</w:t>
                  </w:r>
                  <w:r w:rsidR="00761145" w:rsidRPr="008C5D5E">
                    <w:rPr>
                      <w:i/>
                      <w:iCs/>
                    </w:rPr>
                    <w:t xml:space="preserve"> farmer</w:t>
                  </w:r>
                  <w:r w:rsidRPr="008C5D5E">
                    <w:rPr>
                      <w:i/>
                      <w:iCs/>
                    </w:rPr>
                    <w:t xml:space="preserve">, or </w:t>
                  </w:r>
                </w:p>
                <w:p w:rsidR="0047429E" w:rsidRPr="008C5D5E" w:rsidRDefault="0047429E" w:rsidP="008C5D5E">
                  <w:pPr>
                    <w:pStyle w:val="ListParagraph"/>
                    <w:contextualSpacing w:val="0"/>
                    <w:rPr>
                      <w:i/>
                      <w:iCs/>
                    </w:rPr>
                  </w:pPr>
                  <w:r w:rsidRPr="008C5D5E">
                    <w:rPr>
                      <w:i/>
                      <w:iCs/>
                    </w:rPr>
                    <w:t>b) technical assistance for design and establishment of mini/off grid RETs systems for medium to large agricultural producer organizations and cooperatives</w:t>
                  </w:r>
                </w:p>
                <w:p w:rsidR="0085419A" w:rsidRPr="008C5D5E" w:rsidRDefault="0085419A" w:rsidP="008C5D5E">
                  <w:pPr>
                    <w:pStyle w:val="ListParagraph"/>
                    <w:ind w:left="0"/>
                    <w:contextualSpacing w:val="0"/>
                  </w:pPr>
                  <w:r w:rsidRPr="008C5D5E">
                    <w:t xml:space="preserve">Through this component investments in RETs will be mobilized and supported to ensure a successful implementation. Component 1 will be informed by the ASAP2 methodology to evaluate potentials and opportunities of incorporating RETs into IFAD projects through Technical, economic and financial assessments along the value chain </w:t>
                  </w:r>
                  <w:r w:rsidR="00761145" w:rsidRPr="008C5D5E">
                    <w:t>including</w:t>
                  </w:r>
                  <w:r w:rsidR="00761145" w:rsidRPr="008C5D5E">
                    <w:rPr>
                      <w:color w:val="000000" w:themeColor="text1"/>
                    </w:rPr>
                    <w:t xml:space="preserve"> a sensitivity analysis identifying those features that facilitate or hamper the adoption of specific technologies in the region</w:t>
                  </w:r>
                  <w:r w:rsidR="00761145" w:rsidRPr="008C5D5E">
                    <w:t xml:space="preserve"> </w:t>
                  </w:r>
                  <w:r w:rsidRPr="008C5D5E">
                    <w:t xml:space="preserve">and will provide the bases for the development of components 2 and 3. </w:t>
                  </w:r>
                </w:p>
                <w:p w:rsidR="0085419A" w:rsidRPr="008C5D5E" w:rsidRDefault="0085419A" w:rsidP="008C5D5E">
                  <w:pPr>
                    <w:pStyle w:val="ListParagraph"/>
                    <w:ind w:left="0"/>
                    <w:contextualSpacing w:val="0"/>
                  </w:pPr>
                </w:p>
                <w:p w:rsidR="00761145" w:rsidRPr="008C5D5E" w:rsidRDefault="00D54709" w:rsidP="008C5D5E">
                  <w:pPr>
                    <w:pStyle w:val="ListParagraph"/>
                    <w:ind w:left="0"/>
                    <w:contextualSpacing w:val="0"/>
                    <w:rPr>
                      <w:b/>
                      <w:bCs/>
                    </w:rPr>
                  </w:pPr>
                  <w:r w:rsidRPr="008C5D5E">
                    <w:rPr>
                      <w:b/>
                      <w:bCs/>
                    </w:rPr>
                    <w:t xml:space="preserve">Component 2: </w:t>
                  </w:r>
                  <w:r w:rsidR="00761145" w:rsidRPr="008C5D5E">
                    <w:rPr>
                      <w:b/>
                      <w:bCs/>
                    </w:rPr>
                    <w:t>Capacity Development</w:t>
                  </w:r>
                </w:p>
                <w:p w:rsidR="00D54709" w:rsidRPr="008C5D5E" w:rsidRDefault="0085419A" w:rsidP="008C5D5E">
                  <w:pPr>
                    <w:pStyle w:val="ListParagraph"/>
                    <w:ind w:left="0"/>
                    <w:contextualSpacing w:val="0"/>
                  </w:pPr>
                  <w:r w:rsidRPr="008C5D5E">
                    <w:t>The component aim</w:t>
                  </w:r>
                  <w:r w:rsidR="002D2691" w:rsidRPr="008C5D5E">
                    <w:t>s</w:t>
                  </w:r>
                  <w:r w:rsidRPr="008C5D5E">
                    <w:t xml:space="preserve"> at </w:t>
                  </w:r>
                  <w:r w:rsidR="002D2691" w:rsidRPr="008C5D5E">
                    <w:t>generating and improving regional</w:t>
                  </w:r>
                  <w:r w:rsidR="00761145" w:rsidRPr="008C5D5E">
                    <w:t xml:space="preserve"> capacities</w:t>
                  </w:r>
                  <w:r w:rsidR="002D2691" w:rsidRPr="008C5D5E">
                    <w:t xml:space="preserve"> and know-how</w:t>
                  </w:r>
                  <w:r w:rsidR="00761145" w:rsidRPr="008C5D5E">
                    <w:t xml:space="preserve"> </w:t>
                  </w:r>
                  <w:r w:rsidR="002D2691" w:rsidRPr="008C5D5E">
                    <w:t xml:space="preserve">to </w:t>
                  </w:r>
                  <w:r w:rsidR="007B4E9B" w:rsidRPr="008C5D5E">
                    <w:t>positively</w:t>
                  </w:r>
                  <w:r w:rsidR="002D2691" w:rsidRPr="008C5D5E">
                    <w:t xml:space="preserve"> </w:t>
                  </w:r>
                  <w:r w:rsidR="00761145" w:rsidRPr="008C5D5E">
                    <w:t xml:space="preserve">influence decision making processes by fostering policy dialogues and trainings on best practices of renewable energy utilization in agricultural value chains based on regional experiences. </w:t>
                  </w:r>
                </w:p>
                <w:p w:rsidR="0085419A" w:rsidRPr="008C5D5E" w:rsidRDefault="0085419A" w:rsidP="008C5D5E">
                  <w:pPr>
                    <w:pStyle w:val="ListParagraph"/>
                    <w:ind w:left="0"/>
                    <w:contextualSpacing w:val="0"/>
                  </w:pPr>
                </w:p>
                <w:p w:rsidR="00761145" w:rsidRPr="008C5D5E" w:rsidRDefault="00D54709" w:rsidP="008C5D5E">
                  <w:pPr>
                    <w:rPr>
                      <w:b/>
                      <w:bCs/>
                    </w:rPr>
                  </w:pPr>
                  <w:r w:rsidRPr="008C5D5E">
                    <w:rPr>
                      <w:b/>
                      <w:bCs/>
                    </w:rPr>
                    <w:t xml:space="preserve">Component 3: </w:t>
                  </w:r>
                  <w:r w:rsidR="00761145" w:rsidRPr="008C5D5E">
                    <w:rPr>
                      <w:b/>
                      <w:bCs/>
                    </w:rPr>
                    <w:t>Monitoring and evaluation, knowledge management</w:t>
                  </w:r>
                </w:p>
                <w:p w:rsidR="00D54709" w:rsidRPr="008C5D5E" w:rsidRDefault="00BF23C7" w:rsidP="008C5D5E">
                  <w:pPr>
                    <w:pStyle w:val="ListParagraph"/>
                    <w:ind w:left="0"/>
                    <w:contextualSpacing w:val="0"/>
                  </w:pPr>
                  <w:r w:rsidRPr="008C5D5E">
                    <w:t>Th</w:t>
                  </w:r>
                  <w:r w:rsidR="00A2475C" w:rsidRPr="008C5D5E">
                    <w:t>rough th</w:t>
                  </w:r>
                  <w:r w:rsidRPr="008C5D5E">
                    <w:t>is component</w:t>
                  </w:r>
                  <w:r w:rsidR="00A2475C" w:rsidRPr="008C5D5E">
                    <w:t xml:space="preserve">, the selected institution will </w:t>
                  </w:r>
                  <w:r w:rsidRPr="008C5D5E">
                    <w:t>administ</w:t>
                  </w:r>
                  <w:r w:rsidR="00A2475C" w:rsidRPr="008C5D5E">
                    <w:t>e</w:t>
                  </w:r>
                  <w:r w:rsidRPr="008C5D5E">
                    <w:t>r and manage</w:t>
                  </w:r>
                  <w:r w:rsidR="00A2475C" w:rsidRPr="008C5D5E">
                    <w:t xml:space="preserve"> </w:t>
                  </w:r>
                  <w:r w:rsidRPr="008C5D5E">
                    <w:t>the project</w:t>
                  </w:r>
                  <w:r w:rsidR="00A2475C" w:rsidRPr="008C5D5E">
                    <w:t xml:space="preserve">, and </w:t>
                  </w:r>
                  <w:r w:rsidRPr="008C5D5E">
                    <w:t xml:space="preserve">monitor key indicators and targets. </w:t>
                  </w:r>
                  <w:r w:rsidR="00A2475C" w:rsidRPr="008C5D5E">
                    <w:t xml:space="preserve">A series of KM materials </w:t>
                  </w:r>
                  <w:r w:rsidR="00761145" w:rsidRPr="008C5D5E">
                    <w:t xml:space="preserve">will </w:t>
                  </w:r>
                  <w:r w:rsidR="00A2475C" w:rsidRPr="008C5D5E">
                    <w:t xml:space="preserve">be </w:t>
                  </w:r>
                  <w:r w:rsidR="00761145" w:rsidRPr="008C5D5E">
                    <w:t>produce</w:t>
                  </w:r>
                  <w:r w:rsidR="00A2475C" w:rsidRPr="008C5D5E">
                    <w:t>d</w:t>
                  </w:r>
                  <w:r w:rsidR="00761145" w:rsidRPr="008C5D5E">
                    <w:t xml:space="preserve"> and promote</w:t>
                  </w:r>
                  <w:r w:rsidR="00A2475C" w:rsidRPr="008C5D5E">
                    <w:t>d</w:t>
                  </w:r>
                  <w:r w:rsidR="00761145" w:rsidRPr="008C5D5E">
                    <w:t xml:space="preserve"> showcasing the mitigation, adaptation and economic benefits of RETs integration into agricultural processes.</w:t>
                  </w:r>
                  <w:r w:rsidR="00A2475C" w:rsidRPr="008C5D5E">
                    <w:t xml:space="preserve"> </w:t>
                  </w:r>
                  <w:r w:rsidRPr="008C5D5E">
                    <w:t xml:space="preserve">A </w:t>
                  </w:r>
                  <w:r w:rsidR="00A2475C" w:rsidRPr="008C5D5E">
                    <w:t xml:space="preserve">two fold </w:t>
                  </w:r>
                  <w:r w:rsidRPr="008C5D5E">
                    <w:t xml:space="preserve">communication strategy </w:t>
                  </w:r>
                  <w:r w:rsidR="003B058C" w:rsidRPr="008C5D5E">
                    <w:t xml:space="preserve">and scaling plan </w:t>
                  </w:r>
                  <w:r w:rsidRPr="008C5D5E">
                    <w:t xml:space="preserve">will be developed </w:t>
                  </w:r>
                  <w:r w:rsidR="00A2475C" w:rsidRPr="008C5D5E">
                    <w:t xml:space="preserve">for internal and external parties to further disseminate the successful experiences, validate the results of the project, and promote the inclusion of RETs in the region. </w:t>
                  </w:r>
                </w:p>
                <w:p w:rsidR="00EB1ADF" w:rsidRPr="008C5D5E" w:rsidRDefault="00EB1ADF" w:rsidP="008C5D5E">
                  <w:pPr>
                    <w:pStyle w:val="ListParagraph"/>
                    <w:ind w:left="0"/>
                    <w:contextualSpacing w:val="0"/>
                  </w:pPr>
                </w:p>
                <w:p w:rsidR="00EB1ADF" w:rsidRPr="008C5D5E" w:rsidRDefault="00EB1ADF" w:rsidP="008C5D5E">
                  <w:pPr>
                    <w:pStyle w:val="ListParagraph"/>
                    <w:ind w:left="0"/>
                    <w:contextualSpacing w:val="0"/>
                  </w:pPr>
                  <w:r w:rsidRPr="008C5D5E">
                    <w:t>Th</w:t>
                  </w:r>
                  <w:r w:rsidR="00DC41D1" w:rsidRPr="008C5D5E">
                    <w:t>re</w:t>
                  </w:r>
                  <w:r w:rsidRPr="008C5D5E">
                    <w:t xml:space="preserve">e </w:t>
                  </w:r>
                  <w:r w:rsidR="00DC41D1" w:rsidRPr="008C5D5E">
                    <w:t xml:space="preserve">possible formats of </w:t>
                  </w:r>
                  <w:r w:rsidRPr="008C5D5E">
                    <w:t xml:space="preserve">implementation </w:t>
                  </w:r>
                  <w:r w:rsidR="007A5A8E" w:rsidRPr="008C5D5E">
                    <w:t xml:space="preserve">can be </w:t>
                  </w:r>
                  <w:r w:rsidR="00DC41D1" w:rsidRPr="008C5D5E">
                    <w:t>selected</w:t>
                  </w:r>
                  <w:r w:rsidR="007A5A8E" w:rsidRPr="008C5D5E">
                    <w:t xml:space="preserve">: </w:t>
                  </w:r>
                </w:p>
                <w:p w:rsidR="00EB1ADF" w:rsidRPr="008C5D5E" w:rsidRDefault="00EB1ADF" w:rsidP="008C5D5E">
                  <w:pPr>
                    <w:pStyle w:val="ListParagraph"/>
                    <w:ind w:left="0"/>
                    <w:contextualSpacing w:val="0"/>
                  </w:pPr>
                </w:p>
                <w:p w:rsidR="00EB1ADF" w:rsidRPr="008C5D5E" w:rsidRDefault="00EB1ADF" w:rsidP="008C5D5E">
                  <w:pPr>
                    <w:pStyle w:val="ListParagraph"/>
                    <w:ind w:left="0"/>
                    <w:contextualSpacing w:val="0"/>
                  </w:pPr>
                  <w:r w:rsidRPr="008C5D5E">
                    <w:t xml:space="preserve">Option 1: window a) is adopted. Under this option, both IFAD and the selected </w:t>
                  </w:r>
                  <w:r w:rsidR="00D6651A" w:rsidRPr="008C5D5E">
                    <w:t xml:space="preserve">organization </w:t>
                  </w:r>
                  <w:r w:rsidRPr="008C5D5E">
                    <w:t xml:space="preserve">are expected to participate to the initial RET investment (equipment, material and work). </w:t>
                  </w:r>
                </w:p>
                <w:p w:rsidR="00EB1ADF" w:rsidRPr="008C5D5E" w:rsidRDefault="00EB1ADF" w:rsidP="008C5D5E">
                  <w:pPr>
                    <w:pStyle w:val="ListParagraph"/>
                    <w:ind w:left="0"/>
                    <w:contextualSpacing w:val="0"/>
                  </w:pPr>
                  <w:r w:rsidRPr="008C5D5E">
                    <w:t xml:space="preserve">Option2: window b) is adopted. IFAD does not necessarily contribute to the investment in RETs, however it must make sure that both the </w:t>
                  </w:r>
                  <w:r w:rsidR="00D6651A" w:rsidRPr="008C5D5E">
                    <w:t>selected organization</w:t>
                  </w:r>
                  <w:r w:rsidRPr="008C5D5E">
                    <w:t xml:space="preserve"> and the </w:t>
                  </w:r>
                  <w:r w:rsidR="00D71389" w:rsidRPr="008C5D5E">
                    <w:t xml:space="preserve">medium-large producers will contribute to the initial RET investment, to set up </w:t>
                  </w:r>
                  <w:r w:rsidR="007A5A8E" w:rsidRPr="008C5D5E">
                    <w:t xml:space="preserve">a solid initial capacity of RETs in each project. </w:t>
                  </w:r>
                </w:p>
                <w:p w:rsidR="007A5A8E" w:rsidRPr="008C5D5E" w:rsidRDefault="007A5A8E" w:rsidP="008C5D5E">
                  <w:pPr>
                    <w:pStyle w:val="ListParagraph"/>
                    <w:ind w:left="0"/>
                    <w:contextualSpacing w:val="0"/>
                  </w:pPr>
                  <w:r w:rsidRPr="008C5D5E">
                    <w:t xml:space="preserve">Option 3: adoption of both windows. The benefit of a mixed approach is that IFAD would develop experience and know-how in two different settings. The </w:t>
                  </w:r>
                  <w:r w:rsidR="00CC08C0" w:rsidRPr="008C5D5E">
                    <w:t xml:space="preserve">division of </w:t>
                  </w:r>
                  <w:r w:rsidRPr="008C5D5E">
                    <w:t xml:space="preserve">costs would be </w:t>
                  </w:r>
                  <w:r w:rsidR="00CC08C0" w:rsidRPr="008C5D5E">
                    <w:t>defined jointly, following the minimum criteria set forth below.</w:t>
                  </w:r>
                  <w:r w:rsidRPr="008C5D5E">
                    <w:t xml:space="preserve"> </w:t>
                  </w:r>
                </w:p>
                <w:p w:rsidR="007A5A8E" w:rsidRPr="008C5D5E" w:rsidRDefault="007A5A8E" w:rsidP="008C5D5E">
                  <w:pPr>
                    <w:pStyle w:val="ListParagraph"/>
                    <w:ind w:left="0"/>
                    <w:contextualSpacing w:val="0"/>
                  </w:pPr>
                </w:p>
              </w:tc>
            </w:tr>
            <w:tr w:rsidR="007143ED" w:rsidRPr="008C5D5E" w:rsidTr="006D553A">
              <w:trPr>
                <w:trHeight w:val="20"/>
              </w:trPr>
              <w:tc>
                <w:tcPr>
                  <w:tcW w:w="9363" w:type="dxa"/>
                  <w:gridSpan w:val="2"/>
                </w:tcPr>
                <w:p w:rsidR="00AC7242" w:rsidRPr="008C5D5E" w:rsidRDefault="00020753" w:rsidP="008C5D5E">
                  <w:pPr>
                    <w:pStyle w:val="ListParagraph"/>
                    <w:ind w:left="0"/>
                    <w:contextualSpacing w:val="0"/>
                    <w:rPr>
                      <w:b/>
                      <w:bCs/>
                    </w:rPr>
                  </w:pPr>
                  <w:r w:rsidRPr="008C5D5E">
                    <w:rPr>
                      <w:b/>
                      <w:bCs/>
                    </w:rPr>
                    <w:lastRenderedPageBreak/>
                    <w:t>1</w:t>
                  </w:r>
                  <w:r w:rsidR="009E7B9B" w:rsidRPr="008C5D5E">
                    <w:rPr>
                      <w:b/>
                      <w:bCs/>
                    </w:rPr>
                    <w:t>7</w:t>
                  </w:r>
                  <w:r w:rsidRPr="008C5D5E">
                    <w:rPr>
                      <w:b/>
                      <w:bCs/>
                    </w:rPr>
                    <w:t xml:space="preserve">. </w:t>
                  </w:r>
                  <w:r w:rsidR="007143ED" w:rsidRPr="008C5D5E">
                    <w:rPr>
                      <w:b/>
                      <w:bCs/>
                    </w:rPr>
                    <w:t xml:space="preserve">Project cost: </w:t>
                  </w:r>
                </w:p>
                <w:p w:rsidR="00A2475C" w:rsidRPr="008C5D5E" w:rsidRDefault="00A2475C" w:rsidP="00937DAB">
                  <w:pPr>
                    <w:pStyle w:val="ListParagraph"/>
                    <w:ind w:left="0"/>
                    <w:contextualSpacing w:val="0"/>
                  </w:pPr>
                  <w:r w:rsidRPr="008C5D5E">
                    <w:t xml:space="preserve">TBC, at least </w:t>
                  </w:r>
                  <w:r w:rsidR="00937DAB">
                    <w:t>US$</w:t>
                  </w:r>
                  <w:r w:rsidR="00937DAB" w:rsidRPr="008C5D5E">
                    <w:t xml:space="preserve"> </w:t>
                  </w:r>
                  <w:r w:rsidR="00E8574C" w:rsidRPr="008C5D5E">
                    <w:t>2.5</w:t>
                  </w:r>
                  <w:r w:rsidR="0017400D" w:rsidRPr="008C5D5E">
                    <w:t xml:space="preserve"> million </w:t>
                  </w:r>
                  <w:r w:rsidRPr="008C5D5E">
                    <w:t xml:space="preserve">of which </w:t>
                  </w:r>
                  <w:r w:rsidR="00937DAB">
                    <w:t xml:space="preserve">US$ </w:t>
                  </w:r>
                  <w:r w:rsidRPr="008C5D5E">
                    <w:t>2</w:t>
                  </w:r>
                  <w:r w:rsidR="0017400D" w:rsidRPr="008C5D5E">
                    <w:t xml:space="preserve"> </w:t>
                  </w:r>
                  <w:r w:rsidRPr="008C5D5E">
                    <w:t xml:space="preserve">million will be provided by the IFAD grant and will support the project as follows: </w:t>
                  </w:r>
                </w:p>
                <w:p w:rsidR="00F66CBF" w:rsidRPr="008C5D5E" w:rsidRDefault="00F66CBF" w:rsidP="008C5D5E">
                  <w:pPr>
                    <w:pStyle w:val="ListParagraph"/>
                    <w:ind w:left="0"/>
                    <w:contextualSpacing w:val="0"/>
                  </w:pPr>
                </w:p>
                <w:p w:rsidR="009749AC" w:rsidRPr="008C5D5E" w:rsidRDefault="00A2475C" w:rsidP="00937DAB">
                  <w:pPr>
                    <w:pStyle w:val="ListParagraph"/>
                    <w:numPr>
                      <w:ilvl w:val="0"/>
                      <w:numId w:val="27"/>
                    </w:numPr>
                    <w:contextualSpacing w:val="0"/>
                  </w:pPr>
                  <w:r w:rsidRPr="008C5D5E">
                    <w:rPr>
                      <w:b/>
                      <w:bCs/>
                    </w:rPr>
                    <w:t>C</w:t>
                  </w:r>
                  <w:r w:rsidR="0047429E" w:rsidRPr="008C5D5E">
                    <w:rPr>
                      <w:b/>
                      <w:bCs/>
                    </w:rPr>
                    <w:t>omponent 1</w:t>
                  </w:r>
                  <w:r w:rsidRPr="008C5D5E">
                    <w:rPr>
                      <w:b/>
                      <w:bCs/>
                    </w:rPr>
                    <w:t xml:space="preserve"> –</w:t>
                  </w:r>
                  <w:r w:rsidR="00937DAB">
                    <w:rPr>
                      <w:b/>
                      <w:bCs/>
                    </w:rPr>
                    <w:t xml:space="preserve"> </w:t>
                  </w:r>
                  <w:r w:rsidR="00937DAB" w:rsidRPr="00937DAB">
                    <w:t xml:space="preserve">US$ </w:t>
                  </w:r>
                  <w:r w:rsidRPr="008C5D5E">
                    <w:t>1,</w:t>
                  </w:r>
                  <w:r w:rsidR="00973B01" w:rsidRPr="008C5D5E">
                    <w:t>3</w:t>
                  </w:r>
                  <w:r w:rsidRPr="008C5D5E">
                    <w:t xml:space="preserve"> million</w:t>
                  </w:r>
                  <w:r w:rsidR="00937DAB">
                    <w:t xml:space="preserve"> </w:t>
                  </w:r>
                  <w:r w:rsidRPr="008C5D5E">
                    <w:t>(6</w:t>
                  </w:r>
                  <w:r w:rsidR="00973B01" w:rsidRPr="008C5D5E">
                    <w:t>5</w:t>
                  </w:r>
                  <w:r w:rsidRPr="008C5D5E">
                    <w:t xml:space="preserve">%) will be mobilized to leverage additional resources and invest in RETs, a minimum of </w:t>
                  </w:r>
                  <w:r w:rsidR="0009201B">
                    <w:t xml:space="preserve">US$ </w:t>
                  </w:r>
                  <w:r w:rsidRPr="008C5D5E">
                    <w:t xml:space="preserve">350 thousand must be allocated to each country. </w:t>
                  </w:r>
                </w:p>
                <w:p w:rsidR="00A2475C" w:rsidRPr="008C5D5E" w:rsidRDefault="00A2475C" w:rsidP="008C5D5E">
                  <w:pPr>
                    <w:pStyle w:val="ListParagraph"/>
                    <w:numPr>
                      <w:ilvl w:val="0"/>
                      <w:numId w:val="27"/>
                    </w:numPr>
                    <w:contextualSpacing w:val="0"/>
                  </w:pPr>
                  <w:r w:rsidRPr="008C5D5E">
                    <w:rPr>
                      <w:b/>
                      <w:bCs/>
                    </w:rPr>
                    <w:t xml:space="preserve">Component 2 – </w:t>
                  </w:r>
                  <w:r w:rsidR="00937DAB" w:rsidRPr="00937DAB">
                    <w:t xml:space="preserve">US$ </w:t>
                  </w:r>
                  <w:r w:rsidR="00973B01" w:rsidRPr="008C5D5E">
                    <w:t>4</w:t>
                  </w:r>
                  <w:r w:rsidRPr="008C5D5E">
                    <w:t>00 thousand (</w:t>
                  </w:r>
                  <w:r w:rsidR="00973B01" w:rsidRPr="008C5D5E">
                    <w:t>20</w:t>
                  </w:r>
                  <w:r w:rsidRPr="008C5D5E">
                    <w:t xml:space="preserve">%) will be utilized </w:t>
                  </w:r>
                  <w:r w:rsidR="00973B01" w:rsidRPr="008C5D5E">
                    <w:t xml:space="preserve">for capacity development and </w:t>
                  </w:r>
                  <w:r w:rsidRPr="008C5D5E">
                    <w:t xml:space="preserve">to promote </w:t>
                  </w:r>
                  <w:r w:rsidR="00973B01" w:rsidRPr="008C5D5E">
                    <w:t>policy dialogues</w:t>
                  </w:r>
                  <w:r w:rsidRPr="008C5D5E">
                    <w:t xml:space="preserve">. </w:t>
                  </w:r>
                </w:p>
                <w:p w:rsidR="00973B01" w:rsidRPr="008C5D5E" w:rsidRDefault="00A2475C" w:rsidP="008C5D5E">
                  <w:pPr>
                    <w:pStyle w:val="ListParagraph"/>
                    <w:numPr>
                      <w:ilvl w:val="0"/>
                      <w:numId w:val="27"/>
                    </w:numPr>
                    <w:contextualSpacing w:val="0"/>
                  </w:pPr>
                  <w:r w:rsidRPr="008C5D5E">
                    <w:rPr>
                      <w:b/>
                      <w:bCs/>
                    </w:rPr>
                    <w:t>Component 3 –</w:t>
                  </w:r>
                  <w:r w:rsidR="00973B01" w:rsidRPr="008C5D5E">
                    <w:rPr>
                      <w:b/>
                      <w:bCs/>
                    </w:rPr>
                    <w:t xml:space="preserve"> </w:t>
                  </w:r>
                  <w:r w:rsidR="0009201B" w:rsidRPr="0009201B">
                    <w:t xml:space="preserve">US$ </w:t>
                  </w:r>
                  <w:r w:rsidR="00973B01" w:rsidRPr="0009201B">
                    <w:t>300</w:t>
                  </w:r>
                  <w:r w:rsidR="00973B01" w:rsidRPr="008C5D5E">
                    <w:t xml:space="preserve"> thousand (15%) will cover management costs, M&amp;E and production of KM materials</w:t>
                  </w:r>
                  <w:r w:rsidRPr="008C5D5E">
                    <w:t xml:space="preserve">. </w:t>
                  </w:r>
                </w:p>
                <w:p w:rsidR="00973B01" w:rsidRPr="008C5D5E" w:rsidRDefault="00973B01" w:rsidP="008C5D5E">
                  <w:pPr>
                    <w:pStyle w:val="ListParagraph"/>
                    <w:rPr>
                      <w:b/>
                      <w:bCs/>
                    </w:rPr>
                  </w:pPr>
                </w:p>
                <w:p w:rsidR="00F66CBF" w:rsidRPr="008C5D5E" w:rsidRDefault="00973B01" w:rsidP="008C5D5E">
                  <w:pPr>
                    <w:pStyle w:val="ListParagraph"/>
                    <w:ind w:left="0"/>
                    <w:contextualSpacing w:val="0"/>
                    <w:rPr>
                      <w:b/>
                      <w:bCs/>
                    </w:rPr>
                  </w:pPr>
                  <w:r w:rsidRPr="008C5D5E">
                    <w:t xml:space="preserve">It is expected that no less than 50% of the </w:t>
                  </w:r>
                  <w:r w:rsidR="00926B83" w:rsidRPr="008C5D5E">
                    <w:t>additional</w:t>
                  </w:r>
                  <w:r w:rsidRPr="008C5D5E">
                    <w:t xml:space="preserve"> mobilized resources be allocated to Component 1, and that in kind contribution does not exceed 30%.</w:t>
                  </w:r>
                  <w:r w:rsidRPr="008C5D5E">
                    <w:rPr>
                      <w:b/>
                      <w:bCs/>
                    </w:rPr>
                    <w:t xml:space="preserve"> </w:t>
                  </w:r>
                </w:p>
                <w:p w:rsidR="00F66CBF" w:rsidRPr="008C5D5E" w:rsidRDefault="00F66CBF" w:rsidP="008C5D5E">
                  <w:pPr>
                    <w:pStyle w:val="ListParagraph"/>
                    <w:ind w:left="0"/>
                    <w:contextualSpacing w:val="0"/>
                    <w:rPr>
                      <w:b/>
                      <w:bCs/>
                    </w:rPr>
                  </w:pPr>
                </w:p>
                <w:p w:rsidR="00233C63" w:rsidRPr="008C5D5E" w:rsidRDefault="00F66CBF" w:rsidP="008C5D5E">
                  <w:pPr>
                    <w:pStyle w:val="ListParagraph"/>
                    <w:ind w:left="0"/>
                    <w:contextualSpacing w:val="0"/>
                  </w:pPr>
                  <w:r w:rsidRPr="008C5D5E">
                    <w:t xml:space="preserve">Categories: </w:t>
                  </w:r>
                </w:p>
                <w:p w:rsidR="000458E9" w:rsidRPr="008C5D5E" w:rsidRDefault="00233C63" w:rsidP="008C5D5E">
                  <w:pPr>
                    <w:pStyle w:val="ListParagraph"/>
                    <w:ind w:left="0"/>
                  </w:pPr>
                  <w:r w:rsidRPr="008C5D5E">
                    <w:lastRenderedPageBreak/>
                    <w:t xml:space="preserve">Option A : </w:t>
                  </w:r>
                  <w:r w:rsidR="00F66CBF" w:rsidRPr="008C5D5E">
                    <w:t>the</w:t>
                  </w:r>
                  <w:r w:rsidR="00CE2E31" w:rsidRPr="008C5D5E">
                    <w:t xml:space="preserve"> estimated</w:t>
                  </w:r>
                  <w:r w:rsidR="00F66CBF" w:rsidRPr="008C5D5E">
                    <w:t xml:space="preserve"> project costs </w:t>
                  </w:r>
                  <w:r w:rsidR="00CE2E31" w:rsidRPr="008C5D5E">
                    <w:t>will</w:t>
                  </w:r>
                  <w:r w:rsidR="00F66CBF" w:rsidRPr="008C5D5E">
                    <w:t xml:space="preserve"> include Direct Costs </w:t>
                  </w:r>
                  <w:r w:rsidRPr="008C5D5E">
                    <w:t xml:space="preserve"> for </w:t>
                  </w:r>
                  <w:r w:rsidR="00D65F1D" w:rsidRPr="008C5D5E">
                    <w:t>microfinance scheme for smallholders</w:t>
                  </w:r>
                  <w:r w:rsidR="00FA12D5" w:rsidRPr="008C5D5E">
                    <w:t xml:space="preserve"> developed and</w:t>
                  </w:r>
                  <w:r w:rsidR="00D65F1D" w:rsidRPr="008C5D5E">
                    <w:t xml:space="preserve"> implemented by experts in the </w:t>
                  </w:r>
                  <w:r w:rsidR="00CE2E31" w:rsidRPr="008C5D5E">
                    <w:t>field</w:t>
                  </w:r>
                  <w:r w:rsidR="00D65F1D" w:rsidRPr="008C5D5E">
                    <w:t xml:space="preserve"> of RETs in agriculture (consultancies) and partial participation to the initial RET investment</w:t>
                  </w:r>
                  <w:r w:rsidR="00F10E6C" w:rsidRPr="008C5D5E">
                    <w:t xml:space="preserve"> (equipment</w:t>
                  </w:r>
                  <w:r w:rsidRPr="008C5D5E">
                    <w:t xml:space="preserve"> and </w:t>
                  </w:r>
                  <w:r w:rsidR="00F10E6C" w:rsidRPr="008C5D5E">
                    <w:t>materials</w:t>
                  </w:r>
                  <w:r w:rsidR="00FA12D5" w:rsidRPr="008C5D5E">
                    <w:t>)</w:t>
                  </w:r>
                  <w:r w:rsidR="00E8574C" w:rsidRPr="008C5D5E">
                    <w:t>;</w:t>
                  </w:r>
                  <w:r w:rsidRPr="008C5D5E">
                    <w:t xml:space="preserve">  a maximum of 30% of the budget</w:t>
                  </w:r>
                  <w:r w:rsidR="00FA12D5" w:rsidRPr="008C5D5E">
                    <w:t xml:space="preserve"> </w:t>
                  </w:r>
                  <w:r w:rsidR="00E8574C" w:rsidRPr="008C5D5E">
                    <w:t>could</w:t>
                  </w:r>
                  <w:r w:rsidR="00FA12D5" w:rsidRPr="008C5D5E">
                    <w:t xml:space="preserve"> be</w:t>
                  </w:r>
                  <w:r w:rsidRPr="008C5D5E">
                    <w:t xml:space="preserve"> allocated to</w:t>
                  </w:r>
                  <w:r w:rsidR="00FA12D5" w:rsidRPr="008C5D5E">
                    <w:t xml:space="preserve"> consultancies</w:t>
                  </w:r>
                  <w:r w:rsidR="00D65F1D" w:rsidRPr="008C5D5E">
                    <w:t>,</w:t>
                  </w:r>
                  <w:r w:rsidRPr="008C5D5E">
                    <w:t xml:space="preserve"> an</w:t>
                  </w:r>
                  <w:r w:rsidR="004A1008" w:rsidRPr="008C5D5E">
                    <w:t>d the remaining part (30</w:t>
                  </w:r>
                  <w:r w:rsidR="001D10E6" w:rsidRPr="008C5D5E">
                    <w:t>-40</w:t>
                  </w:r>
                  <w:r w:rsidRPr="008C5D5E">
                    <w:t xml:space="preserve">% ) will be used for new RETs investment. </w:t>
                  </w:r>
                </w:p>
                <w:p w:rsidR="000458E9" w:rsidRPr="008C5D5E" w:rsidRDefault="00233C63" w:rsidP="008C5D5E">
                  <w:pPr>
                    <w:pStyle w:val="ListParagraph"/>
                    <w:ind w:left="0"/>
                  </w:pPr>
                  <w:r w:rsidRPr="008C5D5E">
                    <w:t>Option B: t</w:t>
                  </w:r>
                  <w:r w:rsidR="00D65F1D" w:rsidRPr="008C5D5E">
                    <w:t xml:space="preserve">echnical assistance performed by experts in the field (consultancies) </w:t>
                  </w:r>
                  <w:r w:rsidR="00635793" w:rsidRPr="008C5D5E">
                    <w:t>for medium-large producers.</w:t>
                  </w:r>
                  <w:r w:rsidR="00CE2E31" w:rsidRPr="008C5D5E">
                    <w:t xml:space="preserve"> </w:t>
                  </w:r>
                  <w:r w:rsidR="00E8574C" w:rsidRPr="008C5D5E">
                    <w:t>I</w:t>
                  </w:r>
                  <w:r w:rsidRPr="008C5D5E">
                    <w:t xml:space="preserve">n this case consultancies will be paid up to a maximum of 65% of the grant. </w:t>
                  </w:r>
                  <w:proofErr w:type="spellStart"/>
                  <w:r w:rsidR="00E8574C" w:rsidRPr="008C5D5E">
                    <w:t>Counter part</w:t>
                  </w:r>
                  <w:proofErr w:type="spellEnd"/>
                  <w:r w:rsidR="00E8574C" w:rsidRPr="008C5D5E">
                    <w:t xml:space="preserve"> organization is expected to finance the initial RETs investment.</w:t>
                  </w:r>
                </w:p>
                <w:p w:rsidR="0047429E" w:rsidRPr="008C5D5E" w:rsidRDefault="00233C63" w:rsidP="008C5D5E">
                  <w:pPr>
                    <w:pStyle w:val="ListParagraph"/>
                    <w:ind w:left="0"/>
                  </w:pPr>
                  <w:r w:rsidRPr="008C5D5E">
                    <w:t>Option C: mixed approach, will be</w:t>
                  </w:r>
                  <w:r w:rsidR="000458E9" w:rsidRPr="008C5D5E">
                    <w:t xml:space="preserve"> agreed upon between the parties.</w:t>
                  </w:r>
                  <w:r w:rsidR="007B4E9B" w:rsidRPr="008C5D5E">
                    <w:t xml:space="preserve"> </w:t>
                  </w:r>
                  <w:r w:rsidR="000458E9" w:rsidRPr="008C5D5E">
                    <w:t>Where the IFAD portion of the budget must follow the aforementioned component distribution and not exceed in s</w:t>
                  </w:r>
                  <w:r w:rsidR="00F66CBF" w:rsidRPr="008C5D5E">
                    <w:t>alaries and allowances (</w:t>
                  </w:r>
                  <w:r w:rsidR="004A1008" w:rsidRPr="008C5D5E">
                    <w:t>25</w:t>
                  </w:r>
                  <w:r w:rsidR="00F66CBF" w:rsidRPr="008C5D5E">
                    <w:t>%), Workshops</w:t>
                  </w:r>
                  <w:r w:rsidR="004A1008" w:rsidRPr="008C5D5E">
                    <w:t xml:space="preserve"> </w:t>
                  </w:r>
                  <w:r w:rsidR="007B4E9B" w:rsidRPr="008C5D5E">
                    <w:t xml:space="preserve">and </w:t>
                  </w:r>
                  <w:r w:rsidR="00F66CBF" w:rsidRPr="008C5D5E">
                    <w:t>Trainings (1</w:t>
                  </w:r>
                  <w:r w:rsidR="000458E9" w:rsidRPr="008C5D5E">
                    <w:t>5</w:t>
                  </w:r>
                  <w:r w:rsidR="00F66CBF" w:rsidRPr="008C5D5E">
                    <w:t>%)</w:t>
                  </w:r>
                  <w:r w:rsidR="000458E9" w:rsidRPr="008C5D5E">
                    <w:t>,</w:t>
                  </w:r>
                  <w:r w:rsidR="00F66CBF" w:rsidRPr="008C5D5E">
                    <w:t xml:space="preserve"> and Travel and allowances (5%), plus Indirect costs of about </w:t>
                  </w:r>
                  <w:r w:rsidR="00A64DB4" w:rsidRPr="008C5D5E">
                    <w:t>5</w:t>
                  </w:r>
                  <w:r w:rsidR="00F66CBF" w:rsidRPr="008C5D5E">
                    <w:t>%. The grant recipient would contribute a part of the operating costs, salaries and allowances.</w:t>
                  </w:r>
                  <w:r w:rsidR="00A64DB4" w:rsidRPr="008C5D5E">
                    <w:t xml:space="preserve"> </w:t>
                  </w:r>
                </w:p>
              </w:tc>
            </w:tr>
            <w:tr w:rsidR="004E471A" w:rsidRPr="008C5D5E" w:rsidTr="006D553A">
              <w:trPr>
                <w:trHeight w:val="20"/>
              </w:trPr>
              <w:tc>
                <w:tcPr>
                  <w:tcW w:w="9363" w:type="dxa"/>
                  <w:gridSpan w:val="2"/>
                </w:tcPr>
                <w:p w:rsidR="008C5D5E" w:rsidRDefault="009E7B9B" w:rsidP="008C5D5E">
                  <w:pPr>
                    <w:pStyle w:val="ListParagraph"/>
                    <w:ind w:left="0"/>
                    <w:contextualSpacing w:val="0"/>
                    <w:rPr>
                      <w:i/>
                      <w:iCs/>
                    </w:rPr>
                  </w:pPr>
                  <w:r w:rsidRPr="008C5D5E">
                    <w:rPr>
                      <w:b/>
                      <w:bCs/>
                    </w:rPr>
                    <w:lastRenderedPageBreak/>
                    <w:t>18</w:t>
                  </w:r>
                  <w:r w:rsidR="00020753" w:rsidRPr="008C5D5E">
                    <w:rPr>
                      <w:b/>
                      <w:bCs/>
                    </w:rPr>
                    <w:t xml:space="preserve">. </w:t>
                  </w:r>
                  <w:r w:rsidR="004E471A" w:rsidRPr="008C5D5E">
                    <w:rPr>
                      <w:b/>
                      <w:bCs/>
                    </w:rPr>
                    <w:t>Risks</w:t>
                  </w:r>
                  <w:r w:rsidR="00B42E75" w:rsidRPr="008C5D5E">
                    <w:rPr>
                      <w:i/>
                      <w:iCs/>
                    </w:rPr>
                    <w:t xml:space="preserve">: </w:t>
                  </w:r>
                </w:p>
                <w:p w:rsidR="00D54709" w:rsidRPr="008C5D5E" w:rsidRDefault="000E2EC0" w:rsidP="008C5D5E">
                  <w:pPr>
                    <w:pStyle w:val="ListParagraph"/>
                    <w:ind w:left="0"/>
                    <w:contextualSpacing w:val="0"/>
                  </w:pPr>
                  <w:r w:rsidRPr="008C5D5E">
                    <w:t xml:space="preserve">The </w:t>
                  </w:r>
                  <w:r w:rsidR="00F66CBF" w:rsidRPr="008C5D5E">
                    <w:t xml:space="preserve">main </w:t>
                  </w:r>
                  <w:r w:rsidRPr="008C5D5E">
                    <w:t xml:space="preserve">risks associated with this project pertain to a) concentration of technologies – as IFAD aims to have a diversified </w:t>
                  </w:r>
                  <w:r w:rsidR="00F66CBF" w:rsidRPr="008C5D5E">
                    <w:t xml:space="preserve">mix of </w:t>
                  </w:r>
                  <w:r w:rsidRPr="008C5D5E">
                    <w:t>RETs</w:t>
                  </w:r>
                  <w:r w:rsidR="00F66CBF" w:rsidRPr="008C5D5E">
                    <w:t xml:space="preserve"> that can better inform a variety of stakeholders in their diverse contexts </w:t>
                  </w:r>
                  <w:r w:rsidRPr="008C5D5E">
                    <w:t>and b)</w:t>
                  </w:r>
                  <w:r w:rsidR="00F66CBF" w:rsidRPr="008C5D5E">
                    <w:t xml:space="preserve"> </w:t>
                  </w:r>
                  <w:r w:rsidRPr="008C5D5E">
                    <w:t xml:space="preserve">misconception of the final application of RETs </w:t>
                  </w:r>
                  <w:r w:rsidR="00F66CBF" w:rsidRPr="008C5D5E">
                    <w:t xml:space="preserve">to household level instead of for </w:t>
                  </w:r>
                  <w:r w:rsidRPr="008C5D5E">
                    <w:t>smallholder farmers</w:t>
                  </w:r>
                  <w:r w:rsidR="00F66CBF" w:rsidRPr="008C5D5E">
                    <w:t xml:space="preserve"> agricultural production processes</w:t>
                  </w:r>
                  <w:r w:rsidRPr="008C5D5E">
                    <w:t xml:space="preserve">. These risks would be mitigated through rigorous selection of technologies and regular reporting. </w:t>
                  </w:r>
                </w:p>
              </w:tc>
            </w:tr>
            <w:tr w:rsidR="004E471A" w:rsidRPr="008C5D5E" w:rsidTr="006D553A">
              <w:trPr>
                <w:trHeight w:val="20"/>
              </w:trPr>
              <w:tc>
                <w:tcPr>
                  <w:tcW w:w="9363" w:type="dxa"/>
                  <w:gridSpan w:val="2"/>
                </w:tcPr>
                <w:p w:rsidR="00AC7242" w:rsidRPr="008C5D5E" w:rsidRDefault="009E7B9B" w:rsidP="008C5D5E">
                  <w:pPr>
                    <w:pStyle w:val="ListParagraph"/>
                    <w:ind w:left="0"/>
                    <w:contextualSpacing w:val="0"/>
                    <w:rPr>
                      <w:i/>
                      <w:iCs/>
                    </w:rPr>
                  </w:pPr>
                  <w:r w:rsidRPr="008C5D5E">
                    <w:rPr>
                      <w:b/>
                      <w:bCs/>
                    </w:rPr>
                    <w:t>19</w:t>
                  </w:r>
                  <w:r w:rsidR="00020753" w:rsidRPr="008C5D5E">
                    <w:rPr>
                      <w:b/>
                      <w:bCs/>
                    </w:rPr>
                    <w:t xml:space="preserve">. </w:t>
                  </w:r>
                  <w:r w:rsidR="004E471A" w:rsidRPr="008C5D5E">
                    <w:rPr>
                      <w:b/>
                      <w:bCs/>
                    </w:rPr>
                    <w:t xml:space="preserve">Monitoring </w:t>
                  </w:r>
                  <w:r w:rsidR="0002685D" w:rsidRPr="008C5D5E">
                    <w:rPr>
                      <w:b/>
                      <w:bCs/>
                    </w:rPr>
                    <w:t>&amp;</w:t>
                  </w:r>
                  <w:r w:rsidR="004E471A" w:rsidRPr="008C5D5E">
                    <w:rPr>
                      <w:b/>
                      <w:bCs/>
                    </w:rPr>
                    <w:t xml:space="preserve"> Evaluation</w:t>
                  </w:r>
                  <w:r w:rsidR="0002685D" w:rsidRPr="008C5D5E">
                    <w:rPr>
                      <w:b/>
                      <w:bCs/>
                    </w:rPr>
                    <w:t>, KM</w:t>
                  </w:r>
                  <w:r w:rsidR="004E471A" w:rsidRPr="008C5D5E">
                    <w:rPr>
                      <w:b/>
                      <w:bCs/>
                    </w:rPr>
                    <w:t xml:space="preserve"> and Learning: </w:t>
                  </w:r>
                </w:p>
                <w:p w:rsidR="00D54709" w:rsidRPr="008C5D5E" w:rsidRDefault="000E2EC0" w:rsidP="008C5D5E">
                  <w:pPr>
                    <w:pStyle w:val="ListParagraph"/>
                    <w:ind w:left="0"/>
                    <w:contextualSpacing w:val="0"/>
                  </w:pPr>
                  <w:r w:rsidRPr="008C5D5E">
                    <w:t xml:space="preserve">As an integrative part of already existing projects, the reporting should be done through the Monitoring and Evaluation </w:t>
                  </w:r>
                  <w:r w:rsidR="005C5197" w:rsidRPr="008C5D5E">
                    <w:t>process for the entire project</w:t>
                  </w:r>
                  <w:r w:rsidRPr="008C5D5E">
                    <w:t xml:space="preserve">. </w:t>
                  </w:r>
                  <w:r w:rsidR="00F54F37" w:rsidRPr="008C5D5E">
                    <w:t xml:space="preserve">Given its relevance, M&amp;E will be performed on regular basis for all three components of the </w:t>
                  </w:r>
                  <w:r w:rsidR="005C5197" w:rsidRPr="008C5D5E">
                    <w:t>grant</w:t>
                  </w:r>
                  <w:r w:rsidR="00F54F37" w:rsidRPr="008C5D5E">
                    <w:t>, providing information on progress against plans, discrepancy and physical progress analysis. This information will be used on country level for the development of the regional projects. This will allow for a comparative e</w:t>
                  </w:r>
                  <w:r w:rsidR="001C6BD5" w:rsidRPr="008C5D5E">
                    <w:t xml:space="preserve">valuation among regions and the </w:t>
                  </w:r>
                  <w:r w:rsidR="005C5197" w:rsidRPr="008C5D5E">
                    <w:t>relative success of the grant implementation.</w:t>
                  </w:r>
                  <w:r w:rsidR="001C6BD5" w:rsidRPr="008C5D5E">
                    <w:t xml:space="preserve"> </w:t>
                  </w:r>
                </w:p>
              </w:tc>
            </w:tr>
            <w:tr w:rsidR="004F1971" w:rsidRPr="008C5D5E" w:rsidTr="006D553A">
              <w:trPr>
                <w:trHeight w:val="20"/>
              </w:trPr>
              <w:tc>
                <w:tcPr>
                  <w:tcW w:w="9363" w:type="dxa"/>
                  <w:gridSpan w:val="2"/>
                </w:tcPr>
                <w:p w:rsidR="004F1971" w:rsidRPr="008C5D5E" w:rsidRDefault="009E7B9B" w:rsidP="008C5D5E">
                  <w:pPr>
                    <w:pStyle w:val="ListParagraph"/>
                    <w:ind w:left="0"/>
                    <w:contextualSpacing w:val="0"/>
                    <w:rPr>
                      <w:i/>
                      <w:iCs/>
                    </w:rPr>
                  </w:pPr>
                  <w:r w:rsidRPr="008C5D5E">
                    <w:rPr>
                      <w:b/>
                      <w:bCs/>
                    </w:rPr>
                    <w:t>20</w:t>
                  </w:r>
                  <w:r w:rsidR="00020753" w:rsidRPr="008C5D5E">
                    <w:rPr>
                      <w:b/>
                      <w:bCs/>
                    </w:rPr>
                    <w:t xml:space="preserve">. </w:t>
                  </w:r>
                  <w:r w:rsidR="004F1971" w:rsidRPr="008C5D5E">
                    <w:rPr>
                      <w:b/>
                      <w:bCs/>
                    </w:rPr>
                    <w:t xml:space="preserve">Supervision modalities: </w:t>
                  </w:r>
                </w:p>
                <w:p w:rsidR="00113088" w:rsidRPr="008C5D5E" w:rsidRDefault="000E2EC0" w:rsidP="008C5D5E">
                  <w:pPr>
                    <w:pStyle w:val="ListParagraph"/>
                    <w:ind w:left="0"/>
                    <w:contextualSpacing w:val="0"/>
                  </w:pPr>
                  <w:r w:rsidRPr="008C5D5E">
                    <w:t xml:space="preserve">The project will be jointly supervised by ECG/LAC team together with the support </w:t>
                  </w:r>
                  <w:r w:rsidR="00113088" w:rsidRPr="008C5D5E">
                    <w:t>of the selected country operations</w:t>
                  </w:r>
                  <w:r w:rsidRPr="008C5D5E">
                    <w:t xml:space="preserve">. The </w:t>
                  </w:r>
                  <w:r w:rsidR="00113088" w:rsidRPr="008C5D5E">
                    <w:t xml:space="preserve">on ground </w:t>
                  </w:r>
                  <w:r w:rsidRPr="008C5D5E">
                    <w:t>supervision</w:t>
                  </w:r>
                  <w:r w:rsidR="00113088" w:rsidRPr="008C5D5E">
                    <w:t xml:space="preserve"> of investments</w:t>
                  </w:r>
                  <w:r w:rsidRPr="008C5D5E">
                    <w:t xml:space="preserve">, as </w:t>
                  </w:r>
                  <w:r w:rsidR="00113088" w:rsidRPr="008C5D5E">
                    <w:t xml:space="preserve">per the above </w:t>
                  </w:r>
                  <w:r w:rsidRPr="008C5D5E">
                    <w:t>M&amp;E</w:t>
                  </w:r>
                  <w:r w:rsidR="00113088" w:rsidRPr="008C5D5E">
                    <w:t xml:space="preserve"> will be </w:t>
                  </w:r>
                  <w:r w:rsidRPr="008C5D5E">
                    <w:t xml:space="preserve">integrated also </w:t>
                  </w:r>
                  <w:r w:rsidR="00113088" w:rsidRPr="008C5D5E">
                    <w:t xml:space="preserve">at </w:t>
                  </w:r>
                  <w:r w:rsidRPr="008C5D5E">
                    <w:t>project level</w:t>
                  </w:r>
                  <w:r w:rsidR="00113088" w:rsidRPr="008C5D5E">
                    <w:t>, and thus promote efficient use of resources</w:t>
                  </w:r>
                  <w:r w:rsidRPr="008C5D5E">
                    <w:t xml:space="preserve">. </w:t>
                  </w:r>
                  <w:r w:rsidR="00113088" w:rsidRPr="008C5D5E">
                    <w:t>ECG will provide direct technical support, supervision and feedback to the selected organization, and promote in house information dissemination. Adequate budget for supervision will be earmarked in the ECG/LAC operational budget and is not accounted as part of project costs.</w:t>
                  </w:r>
                </w:p>
              </w:tc>
            </w:tr>
            <w:tr w:rsidR="00C47BBA" w:rsidRPr="008C5D5E" w:rsidTr="006D553A">
              <w:trPr>
                <w:trHeight w:val="20"/>
              </w:trPr>
              <w:tc>
                <w:tcPr>
                  <w:tcW w:w="9363" w:type="dxa"/>
                  <w:gridSpan w:val="2"/>
                </w:tcPr>
                <w:p w:rsidR="00C47BBA" w:rsidRPr="008C5D5E" w:rsidRDefault="00020753" w:rsidP="008C5D5E">
                  <w:pPr>
                    <w:pStyle w:val="ListParagraph"/>
                    <w:ind w:left="0"/>
                    <w:contextualSpacing w:val="0"/>
                    <w:rPr>
                      <w:i/>
                      <w:iCs/>
                    </w:rPr>
                  </w:pPr>
                  <w:r w:rsidRPr="008C5D5E">
                    <w:rPr>
                      <w:b/>
                      <w:bCs/>
                    </w:rPr>
                    <w:t>2</w:t>
                  </w:r>
                  <w:r w:rsidR="009E7B9B" w:rsidRPr="008C5D5E">
                    <w:rPr>
                      <w:b/>
                      <w:bCs/>
                    </w:rPr>
                    <w:t>1</w:t>
                  </w:r>
                  <w:r w:rsidRPr="008C5D5E">
                    <w:rPr>
                      <w:b/>
                      <w:bCs/>
                    </w:rPr>
                    <w:t xml:space="preserve">. </w:t>
                  </w:r>
                  <w:r w:rsidR="00C47BBA" w:rsidRPr="008C5D5E">
                    <w:rPr>
                      <w:b/>
                      <w:bCs/>
                    </w:rPr>
                    <w:t>Linkages</w:t>
                  </w:r>
                  <w:r w:rsidR="00C47BBA" w:rsidRPr="008C5D5E">
                    <w:t xml:space="preserve">: </w:t>
                  </w:r>
                </w:p>
                <w:p w:rsidR="00CF108F" w:rsidRPr="008C5D5E" w:rsidRDefault="00CF108F" w:rsidP="008C5D5E">
                  <w:pPr>
                    <w:autoSpaceDE w:val="0"/>
                    <w:autoSpaceDN w:val="0"/>
                    <w:adjustRightInd w:val="0"/>
                  </w:pPr>
                  <w:r w:rsidRPr="008C5D5E">
                    <w:t>For the region of LAC, small investments related to RETs have been made as part of the ACCESOS Project in Bolivia, and take an important place in the design of the Semiarid Climate Resilience Project (PCR) in Brazil. Many countries in the region have defined goals (and some policies) to achieve better use of renewable energies. Examples are Peru , where targets were updated in the national energy plan 2014-2025 and aim for 60% of electricity from renewables by 2025 and Colombia, with t</w:t>
                  </w:r>
                  <w:r w:rsidRPr="008C5D5E">
                    <w:rPr>
                      <w:rFonts w:cstheme="majorBidi"/>
                    </w:rPr>
                    <w:t>arget of 6.5% for on-grid and 30% for off-grid renewable energy sources</w:t>
                  </w:r>
                  <w:r w:rsidRPr="008C5D5E">
                    <w:t xml:space="preserve"> by 2020 (</w:t>
                  </w:r>
                  <w:r w:rsidRPr="008C5D5E">
                    <w:rPr>
                      <w:rFonts w:cs="Akhbar MT"/>
                      <w:iCs/>
                    </w:rPr>
                    <w:t xml:space="preserve">IRENA, 2014). IFAD has financed renewable energy activities in Paraguay </w:t>
                  </w:r>
                  <w:r w:rsidRPr="008C5D5E">
                    <w:t>(PROMAFI) and Bolivia (ACESSOS),  and has planned for 2019 three projects in Cuba, Bolivia and Haiti, all featuring RETs (RESA, 2018) as</w:t>
                  </w:r>
                  <w:r w:rsidR="008C5D5E" w:rsidRPr="008C5D5E">
                    <w:t xml:space="preserve"> well as </w:t>
                  </w:r>
                  <w:r w:rsidRPr="008C5D5E">
                    <w:t xml:space="preserve">Brazil (PCR) and Dominican Republic PRORURAL </w:t>
                  </w:r>
                  <w:proofErr w:type="spellStart"/>
                  <w:r w:rsidRPr="008C5D5E">
                    <w:t>Inclusivo</w:t>
                  </w:r>
                  <w:proofErr w:type="spellEnd"/>
                  <w:r w:rsidRPr="008C5D5E">
                    <w:t xml:space="preserve"> y </w:t>
                  </w:r>
                  <w:proofErr w:type="spellStart"/>
                  <w:r w:rsidRPr="008C5D5E">
                    <w:t>Resiliente</w:t>
                  </w:r>
                  <w:proofErr w:type="spellEnd"/>
                  <w:r w:rsidRPr="008C5D5E">
                    <w:t xml:space="preserve">. </w:t>
                  </w:r>
                </w:p>
                <w:p w:rsidR="00CF108F" w:rsidRPr="008C5D5E" w:rsidRDefault="00CF108F" w:rsidP="008C5D5E">
                  <w:pPr>
                    <w:autoSpaceDE w:val="0"/>
                    <w:autoSpaceDN w:val="0"/>
                    <w:adjustRightInd w:val="0"/>
                    <w:rPr>
                      <w:rFonts w:cs="Akhbar MT"/>
                      <w:iCs/>
                    </w:rPr>
                  </w:pPr>
                </w:p>
                <w:p w:rsidR="00926B2F" w:rsidRPr="008C5D5E" w:rsidRDefault="00CF108F" w:rsidP="008C5D5E">
                  <w:pPr>
                    <w:autoSpaceDE w:val="0"/>
                    <w:autoSpaceDN w:val="0"/>
                    <w:adjustRightInd w:val="0"/>
                    <w:rPr>
                      <w:rFonts w:cs="Akhbar MT"/>
                      <w:iCs/>
                    </w:rPr>
                  </w:pPr>
                  <w:r w:rsidRPr="008C5D5E">
                    <w:rPr>
                      <w:rFonts w:cs="Akhbar MT"/>
                      <w:iCs/>
                    </w:rPr>
                    <w:t>The specific grant will build upon the already financed ASAP2 work on renewable energies in the region and the IFAD Renewable Energy for Smallholder Agriculture (RESA) Approach.</w:t>
                  </w:r>
                </w:p>
              </w:tc>
            </w:tr>
            <w:tr w:rsidR="00C47BBA" w:rsidRPr="008C5D5E" w:rsidTr="006D553A">
              <w:trPr>
                <w:trHeight w:val="20"/>
              </w:trPr>
              <w:tc>
                <w:tcPr>
                  <w:tcW w:w="9363" w:type="dxa"/>
                  <w:gridSpan w:val="2"/>
                </w:tcPr>
                <w:p w:rsidR="00AC7242" w:rsidRPr="008C5D5E" w:rsidRDefault="00020753" w:rsidP="008C5D5E">
                  <w:pPr>
                    <w:pStyle w:val="ListParagraph"/>
                    <w:ind w:left="0"/>
                    <w:contextualSpacing w:val="0"/>
                  </w:pPr>
                  <w:r w:rsidRPr="008C5D5E">
                    <w:rPr>
                      <w:b/>
                      <w:bCs/>
                    </w:rPr>
                    <w:t>2</w:t>
                  </w:r>
                  <w:r w:rsidR="009E7B9B" w:rsidRPr="008C5D5E">
                    <w:rPr>
                      <w:b/>
                      <w:bCs/>
                    </w:rPr>
                    <w:t>2</w:t>
                  </w:r>
                  <w:r w:rsidRPr="008C5D5E">
                    <w:rPr>
                      <w:b/>
                      <w:bCs/>
                    </w:rPr>
                    <w:t xml:space="preserve">. </w:t>
                  </w:r>
                  <w:r w:rsidR="00C47BBA" w:rsidRPr="008C5D5E">
                    <w:rPr>
                      <w:b/>
                      <w:bCs/>
                    </w:rPr>
                    <w:t>Scaling up:</w:t>
                  </w:r>
                  <w:r w:rsidR="00E47815" w:rsidRPr="008C5D5E">
                    <w:rPr>
                      <w:b/>
                      <w:bCs/>
                    </w:rPr>
                    <w:t xml:space="preserve"> </w:t>
                  </w:r>
                </w:p>
                <w:p w:rsidR="00ED440B" w:rsidRDefault="00ED440B" w:rsidP="008C5D5E">
                  <w:pPr>
                    <w:pStyle w:val="ListParagraph"/>
                    <w:ind w:left="0"/>
                    <w:contextualSpacing w:val="0"/>
                  </w:pPr>
                  <w:r w:rsidRPr="008C5D5E">
                    <w:t xml:space="preserve">The design and implementation of this grant </w:t>
                  </w:r>
                  <w:r w:rsidR="00D958BB" w:rsidRPr="008C5D5E">
                    <w:t xml:space="preserve">will </w:t>
                  </w:r>
                  <w:r w:rsidRPr="008C5D5E">
                    <w:t xml:space="preserve">build upon already existing projects </w:t>
                  </w:r>
                  <w:r w:rsidR="00D958BB" w:rsidRPr="008C5D5E">
                    <w:t xml:space="preserve">with high potential for implementation and benefits from </w:t>
                  </w:r>
                  <w:r w:rsidRPr="008C5D5E">
                    <w:t>RETs</w:t>
                  </w:r>
                  <w:r w:rsidR="00D958BB" w:rsidRPr="008C5D5E">
                    <w:t xml:space="preserve">, while it will support the validation of ASAP2 tested methodology to evaluate potentials and opportunities of incorporating RETs into IFAD projects through Technical, economic and financial assessments along the value chain and support the building </w:t>
                  </w:r>
                  <w:r w:rsidR="00D958BB" w:rsidRPr="008C5D5E">
                    <w:lastRenderedPageBreak/>
                    <w:t>of in house awareness and adoption of RETs in IFAD operations. Through the development of a series of success cases, LAC will be better equipped to incorporate RETs</w:t>
                  </w:r>
                  <w:r w:rsidRPr="008C5D5E">
                    <w:t xml:space="preserve"> </w:t>
                  </w:r>
                  <w:r w:rsidR="00D958BB" w:rsidRPr="008C5D5E">
                    <w:t xml:space="preserve">its regular operations supporting value chains </w:t>
                  </w:r>
                  <w:r w:rsidRPr="008C5D5E">
                    <w:t>in areas already identified by IFAD as vulnerable to climate change,</w:t>
                  </w:r>
                  <w:r w:rsidR="00D958BB" w:rsidRPr="008C5D5E">
                    <w:t xml:space="preserve"> where project beneficiaries would most benefit from the economic, mitigation and adaptation benefits provided</w:t>
                  </w:r>
                  <w:r w:rsidRPr="008C5D5E">
                    <w:t xml:space="preserve">.  </w:t>
                  </w:r>
                </w:p>
                <w:p w:rsidR="008C5D5E" w:rsidRPr="008C5D5E" w:rsidRDefault="008C5D5E" w:rsidP="008C5D5E">
                  <w:pPr>
                    <w:pStyle w:val="ListParagraph"/>
                    <w:ind w:left="0"/>
                    <w:contextualSpacing w:val="0"/>
                  </w:pPr>
                </w:p>
              </w:tc>
            </w:tr>
            <w:tr w:rsidR="00381203" w:rsidRPr="008C5D5E" w:rsidTr="006D553A">
              <w:trPr>
                <w:trHeight w:val="20"/>
              </w:trPr>
              <w:tc>
                <w:tcPr>
                  <w:tcW w:w="9363" w:type="dxa"/>
                  <w:gridSpan w:val="2"/>
                </w:tcPr>
                <w:p w:rsidR="00AC7242" w:rsidRPr="008C5D5E" w:rsidRDefault="00020753" w:rsidP="008C5D5E">
                  <w:pPr>
                    <w:pStyle w:val="ListParagraph"/>
                    <w:ind w:left="0"/>
                    <w:contextualSpacing w:val="0"/>
                    <w:rPr>
                      <w:i/>
                      <w:iCs/>
                    </w:rPr>
                  </w:pPr>
                  <w:r w:rsidRPr="008C5D5E">
                    <w:rPr>
                      <w:b/>
                      <w:bCs/>
                    </w:rPr>
                    <w:lastRenderedPageBreak/>
                    <w:t>2</w:t>
                  </w:r>
                  <w:r w:rsidR="009E7B9B" w:rsidRPr="008C5D5E">
                    <w:rPr>
                      <w:b/>
                      <w:bCs/>
                    </w:rPr>
                    <w:t>3</w:t>
                  </w:r>
                  <w:r w:rsidRPr="008C5D5E">
                    <w:rPr>
                      <w:b/>
                      <w:bCs/>
                    </w:rPr>
                    <w:t xml:space="preserve">. </w:t>
                  </w:r>
                  <w:r w:rsidR="00381203" w:rsidRPr="008C5D5E">
                    <w:rPr>
                      <w:b/>
                      <w:bCs/>
                    </w:rPr>
                    <w:t xml:space="preserve">Sustainability: </w:t>
                  </w:r>
                </w:p>
                <w:p w:rsidR="001E1648" w:rsidRPr="008C5D5E" w:rsidRDefault="00CD3197" w:rsidP="008C5D5E">
                  <w:pPr>
                    <w:pStyle w:val="ListParagraph"/>
                    <w:ind w:left="0"/>
                    <w:contextualSpacing w:val="0"/>
                  </w:pPr>
                  <w:r w:rsidRPr="008C5D5E">
                    <w:t>Sustainability is an intrinsic goal of mainstreaming renewable energy technologies in IFAD operations.</w:t>
                  </w:r>
                  <w:r w:rsidR="003D54B8" w:rsidRPr="008C5D5E">
                    <w:t xml:space="preserve"> </w:t>
                  </w:r>
                  <w:r w:rsidR="0074480C" w:rsidRPr="008C5D5E">
                    <w:t xml:space="preserve">LAC </w:t>
                  </w:r>
                  <w:r w:rsidR="00B33F15" w:rsidRPr="008C5D5E">
                    <w:t xml:space="preserve">through this grant </w:t>
                  </w:r>
                  <w:r w:rsidR="0074480C" w:rsidRPr="008C5D5E">
                    <w:t xml:space="preserve">aims </w:t>
                  </w:r>
                  <w:r w:rsidR="00B33F15" w:rsidRPr="008C5D5E">
                    <w:t xml:space="preserve">to achieve the </w:t>
                  </w:r>
                  <w:r w:rsidR="003D54B8" w:rsidRPr="008C5D5E">
                    <w:t xml:space="preserve">adoption and sustainable use of </w:t>
                  </w:r>
                  <w:r w:rsidR="0074480C" w:rsidRPr="008C5D5E">
                    <w:t xml:space="preserve">varied </w:t>
                  </w:r>
                  <w:r w:rsidR="003D54B8" w:rsidRPr="008C5D5E">
                    <w:t>forms of renewable energy</w:t>
                  </w:r>
                  <w:r w:rsidR="0074480C" w:rsidRPr="008C5D5E">
                    <w:t xml:space="preserve"> promoting a more sustainable value chain development. That furthers economic growth and efficiencies while reducing environmental impacts of our operations, and increasing local resilience to climate change</w:t>
                  </w:r>
                  <w:r w:rsidR="003D54B8" w:rsidRPr="008C5D5E">
                    <w:t>.</w:t>
                  </w:r>
                </w:p>
              </w:tc>
            </w:tr>
            <w:tr w:rsidR="0076792C" w:rsidRPr="008C5D5E" w:rsidTr="006D553A">
              <w:trPr>
                <w:trHeight w:val="20"/>
              </w:trPr>
              <w:tc>
                <w:tcPr>
                  <w:tcW w:w="9363" w:type="dxa"/>
                  <w:gridSpan w:val="2"/>
                </w:tcPr>
                <w:p w:rsidR="0076792C" w:rsidRPr="008C5D5E" w:rsidRDefault="009E7B9B" w:rsidP="008C5D5E">
                  <w:pPr>
                    <w:pStyle w:val="ListParagraph"/>
                    <w:ind w:left="0"/>
                    <w:contextualSpacing w:val="0"/>
                    <w:rPr>
                      <w:i/>
                      <w:iCs/>
                    </w:rPr>
                  </w:pPr>
                  <w:r w:rsidRPr="008C5D5E">
                    <w:rPr>
                      <w:b/>
                      <w:bCs/>
                    </w:rPr>
                    <w:t>24</w:t>
                  </w:r>
                  <w:r w:rsidR="00020753" w:rsidRPr="008C5D5E">
                    <w:rPr>
                      <w:b/>
                      <w:bCs/>
                    </w:rPr>
                    <w:t xml:space="preserve">. </w:t>
                  </w:r>
                  <w:r w:rsidR="0076792C" w:rsidRPr="008C5D5E">
                    <w:rPr>
                      <w:b/>
                      <w:bCs/>
                    </w:rPr>
                    <w:t xml:space="preserve">Other aspects: </w:t>
                  </w:r>
                </w:p>
                <w:p w:rsidR="00693984" w:rsidRPr="008C5D5E" w:rsidRDefault="00D81B68" w:rsidP="008C5D5E">
                  <w:pPr>
                    <w:pStyle w:val="ListParagraph"/>
                    <w:ind w:left="0"/>
                    <w:contextualSpacing w:val="0"/>
                  </w:pPr>
                  <w:r w:rsidRPr="008C5D5E">
                    <w:t xml:space="preserve">RETs have a broad impact and can bring multiple benefits in rural environments. </w:t>
                  </w:r>
                  <w:r w:rsidR="004C56A5" w:rsidRPr="008C5D5E">
                    <w:t xml:space="preserve">It has an overall positive impact on food security and economic empowerment through higher production and better income. Furthermore, </w:t>
                  </w:r>
                  <w:r w:rsidRPr="008C5D5E">
                    <w:t>RET</w:t>
                  </w:r>
                  <w:r w:rsidR="004C56A5" w:rsidRPr="008C5D5E">
                    <w:t>s</w:t>
                  </w:r>
                  <w:r w:rsidRPr="008C5D5E">
                    <w:t xml:space="preserve"> </w:t>
                  </w:r>
                  <w:r w:rsidR="004C56A5" w:rsidRPr="008C5D5E">
                    <w:t xml:space="preserve">are intrinsically linked to </w:t>
                  </w:r>
                  <w:r w:rsidRPr="008C5D5E">
                    <w:t xml:space="preserve">IFAD core </w:t>
                  </w:r>
                  <w:r w:rsidR="004C56A5" w:rsidRPr="008C5D5E">
                    <w:t xml:space="preserve">mandates including: </w:t>
                  </w:r>
                  <w:r w:rsidRPr="008C5D5E">
                    <w:t xml:space="preserve">improvement </w:t>
                  </w:r>
                  <w:r w:rsidR="0074480C" w:rsidRPr="008C5D5E">
                    <w:t xml:space="preserve">quality </w:t>
                  </w:r>
                  <w:r w:rsidRPr="008C5D5E">
                    <w:t xml:space="preserve">of </w:t>
                  </w:r>
                  <w:r w:rsidR="0074480C" w:rsidRPr="008C5D5E">
                    <w:t xml:space="preserve">life, food security, diversified livelihood opportunities </w:t>
                  </w:r>
                  <w:r w:rsidRPr="008C5D5E">
                    <w:t xml:space="preserve">and </w:t>
                  </w:r>
                  <w:r w:rsidR="0074480C" w:rsidRPr="008C5D5E">
                    <w:t xml:space="preserve">specially </w:t>
                  </w:r>
                  <w:r w:rsidRPr="008C5D5E">
                    <w:t>opportunities for rural youth</w:t>
                  </w:r>
                  <w:r w:rsidR="004C56A5" w:rsidRPr="008C5D5E">
                    <w:t xml:space="preserve"> and women</w:t>
                  </w:r>
                  <w:r w:rsidRPr="008C5D5E">
                    <w:t xml:space="preserve">, </w:t>
                  </w:r>
                  <w:r w:rsidR="004C56A5" w:rsidRPr="008C5D5E">
                    <w:t xml:space="preserve">improving social inclusion and </w:t>
                  </w:r>
                  <w:r w:rsidRPr="008C5D5E">
                    <w:t xml:space="preserve">gender </w:t>
                  </w:r>
                  <w:r w:rsidR="0074480C" w:rsidRPr="008C5D5E">
                    <w:t>equality</w:t>
                  </w:r>
                  <w:r w:rsidR="004C56A5" w:rsidRPr="008C5D5E" w:rsidDel="004C56A5">
                    <w:t xml:space="preserve"> </w:t>
                  </w:r>
                  <w:r w:rsidRPr="008C5D5E">
                    <w:t xml:space="preserve">. RETs have a strong positive impact on </w:t>
                  </w:r>
                  <w:r w:rsidR="0074480C" w:rsidRPr="008C5D5E">
                    <w:t xml:space="preserve">society and the </w:t>
                  </w:r>
                  <w:r w:rsidRPr="008C5D5E">
                    <w:t xml:space="preserve">environment, reducing GHG emissions and consumption of fossil fuels, reducing deforestation and improving </w:t>
                  </w:r>
                  <w:r w:rsidR="00B238A7" w:rsidRPr="008C5D5E">
                    <w:t xml:space="preserve">waste management (for instance with biogas management). </w:t>
                  </w:r>
                </w:p>
                <w:p w:rsidR="00B238A7" w:rsidRPr="008C5D5E" w:rsidRDefault="00B238A7" w:rsidP="008C5D5E">
                  <w:pPr>
                    <w:pStyle w:val="ListParagraph"/>
                    <w:ind w:left="0"/>
                    <w:contextualSpacing w:val="0"/>
                  </w:pPr>
                </w:p>
                <w:p w:rsidR="00B238A7" w:rsidRPr="008C5D5E" w:rsidRDefault="00B238A7" w:rsidP="008C5D5E">
                  <w:pPr>
                    <w:pStyle w:val="ListParagraph"/>
                    <w:ind w:left="0"/>
                    <w:contextualSpacing w:val="0"/>
                  </w:pPr>
                  <w:r w:rsidRPr="008C5D5E">
                    <w:t xml:space="preserve">Cost-benefit assessments </w:t>
                  </w:r>
                  <w:r w:rsidR="004C56A5" w:rsidRPr="008C5D5E">
                    <w:t xml:space="preserve">will </w:t>
                  </w:r>
                  <w:r w:rsidRPr="008C5D5E">
                    <w:t xml:space="preserve">be performed for each planned investment. Supporting documentation </w:t>
                  </w:r>
                  <w:r w:rsidR="004C56A5" w:rsidRPr="008C5D5E">
                    <w:t xml:space="preserve">will </w:t>
                  </w:r>
                  <w:r w:rsidRPr="008C5D5E">
                    <w:t xml:space="preserve">show the </w:t>
                  </w:r>
                  <w:r w:rsidR="004C56A5" w:rsidRPr="008C5D5E">
                    <w:t xml:space="preserve">mitigation, adaptation and </w:t>
                  </w:r>
                  <w:r w:rsidRPr="008C5D5E">
                    <w:t xml:space="preserve">economic advantages </w:t>
                  </w:r>
                </w:p>
              </w:tc>
            </w:tr>
          </w:tbl>
          <w:p w:rsidR="006C7AAD" w:rsidRDefault="006C7AAD" w:rsidP="002B1CC7">
            <w:pPr>
              <w:spacing w:after="120"/>
            </w:pPr>
          </w:p>
        </w:tc>
      </w:tr>
    </w:tbl>
    <w:p w:rsidR="00233472" w:rsidRDefault="00233472" w:rsidP="00E318DB">
      <w:pPr>
        <w:spacing w:after="0" w:line="240" w:lineRule="auto"/>
        <w:ind w:right="-755"/>
        <w:jc w:val="right"/>
      </w:pPr>
    </w:p>
    <w:tbl>
      <w:tblPr>
        <w:tblStyle w:val="MediumGrid3-Accent4"/>
        <w:tblW w:w="9180" w:type="dxa"/>
        <w:tblLook w:val="04A0" w:firstRow="1" w:lastRow="0" w:firstColumn="1" w:lastColumn="0" w:noHBand="0" w:noVBand="1"/>
      </w:tblPr>
      <w:tblGrid>
        <w:gridCol w:w="959"/>
        <w:gridCol w:w="3118"/>
        <w:gridCol w:w="2552"/>
        <w:gridCol w:w="2551"/>
      </w:tblGrid>
      <w:tr w:rsidR="00CC4762" w:rsidRPr="00084ED3" w:rsidTr="0017400D">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959" w:type="dxa"/>
            <w:shd w:val="clear" w:color="auto" w:fill="31849B" w:themeFill="accent5" w:themeFillShade="BF"/>
            <w:textDirection w:val="btLr"/>
          </w:tcPr>
          <w:p w:rsidR="00CC4762" w:rsidRPr="00084ED3" w:rsidRDefault="00CC4762" w:rsidP="0017400D">
            <w:pPr>
              <w:ind w:left="113" w:right="113"/>
              <w:jc w:val="center"/>
              <w:rPr>
                <w:b w:val="0"/>
                <w:bCs w:val="0"/>
              </w:rPr>
            </w:pPr>
          </w:p>
        </w:tc>
        <w:tc>
          <w:tcPr>
            <w:tcW w:w="3118" w:type="dxa"/>
            <w:shd w:val="clear" w:color="auto" w:fill="31849B" w:themeFill="accent5" w:themeFillShade="BF"/>
            <w:vAlign w:val="center"/>
          </w:tcPr>
          <w:p w:rsidR="00CC4762" w:rsidRDefault="00CC4762" w:rsidP="0017400D">
            <w:pPr>
              <w:jc w:val="center"/>
              <w:cnfStyle w:val="100000000000" w:firstRow="1" w:lastRow="0" w:firstColumn="0" w:lastColumn="0" w:oddVBand="0" w:evenVBand="0" w:oddHBand="0" w:evenHBand="0" w:firstRowFirstColumn="0" w:firstRowLastColumn="0" w:lastRowFirstColumn="0" w:lastRowLastColumn="0"/>
              <w:rPr>
                <w:sz w:val="20"/>
                <w:szCs w:val="20"/>
              </w:rPr>
            </w:pPr>
            <w:r w:rsidRPr="00992766">
              <w:rPr>
                <w:sz w:val="20"/>
                <w:szCs w:val="20"/>
              </w:rPr>
              <w:t>SOCIAL/HEALTH BENEFITS</w:t>
            </w:r>
          </w:p>
          <w:p w:rsidR="00CC4762" w:rsidRPr="00992766" w:rsidRDefault="00CC4762" w:rsidP="0017400D">
            <w:pPr>
              <w:jc w:val="center"/>
              <w:cnfStyle w:val="100000000000" w:firstRow="1" w:lastRow="0" w:firstColumn="0" w:lastColumn="0" w:oddVBand="0" w:evenVBand="0" w:oddHBand="0" w:evenHBand="0" w:firstRowFirstColumn="0" w:firstRowLastColumn="0" w:lastRowFirstColumn="0" w:lastRowLastColumn="0"/>
              <w:rPr>
                <w:sz w:val="20"/>
                <w:szCs w:val="20"/>
              </w:rPr>
            </w:pPr>
          </w:p>
        </w:tc>
        <w:tc>
          <w:tcPr>
            <w:tcW w:w="2552" w:type="dxa"/>
            <w:shd w:val="clear" w:color="auto" w:fill="31849B" w:themeFill="accent5" w:themeFillShade="BF"/>
            <w:vAlign w:val="center"/>
          </w:tcPr>
          <w:p w:rsidR="00CC4762" w:rsidRDefault="00CC4762" w:rsidP="0017400D">
            <w:pPr>
              <w:jc w:val="center"/>
              <w:cnfStyle w:val="100000000000" w:firstRow="1" w:lastRow="0" w:firstColumn="0" w:lastColumn="0" w:oddVBand="0" w:evenVBand="0" w:oddHBand="0" w:evenHBand="0" w:firstRowFirstColumn="0" w:firstRowLastColumn="0" w:lastRowFirstColumn="0" w:lastRowLastColumn="0"/>
              <w:rPr>
                <w:sz w:val="20"/>
                <w:szCs w:val="20"/>
              </w:rPr>
            </w:pPr>
            <w:r w:rsidRPr="00992766">
              <w:rPr>
                <w:sz w:val="20"/>
                <w:szCs w:val="20"/>
              </w:rPr>
              <w:t>ENVIRONMENTAL BENEFITS</w:t>
            </w:r>
          </w:p>
          <w:p w:rsidR="00CC4762" w:rsidRPr="00992766" w:rsidRDefault="00CC4762" w:rsidP="0017400D">
            <w:pPr>
              <w:jc w:val="center"/>
              <w:cnfStyle w:val="100000000000" w:firstRow="1" w:lastRow="0" w:firstColumn="0" w:lastColumn="0" w:oddVBand="0" w:evenVBand="0" w:oddHBand="0" w:evenHBand="0" w:firstRowFirstColumn="0" w:firstRowLastColumn="0" w:lastRowFirstColumn="0" w:lastRowLastColumn="0"/>
              <w:rPr>
                <w:sz w:val="20"/>
                <w:szCs w:val="20"/>
              </w:rPr>
            </w:pPr>
          </w:p>
        </w:tc>
        <w:tc>
          <w:tcPr>
            <w:tcW w:w="2551" w:type="dxa"/>
            <w:shd w:val="clear" w:color="auto" w:fill="31849B" w:themeFill="accent5" w:themeFillShade="BF"/>
            <w:vAlign w:val="center"/>
          </w:tcPr>
          <w:p w:rsidR="00CC4762" w:rsidRDefault="00CC4762" w:rsidP="0017400D">
            <w:pPr>
              <w:jc w:val="center"/>
              <w:cnfStyle w:val="100000000000" w:firstRow="1" w:lastRow="0" w:firstColumn="0" w:lastColumn="0" w:oddVBand="0" w:evenVBand="0" w:oddHBand="0" w:evenHBand="0" w:firstRowFirstColumn="0" w:firstRowLastColumn="0" w:lastRowFirstColumn="0" w:lastRowLastColumn="0"/>
              <w:rPr>
                <w:sz w:val="20"/>
                <w:szCs w:val="20"/>
              </w:rPr>
            </w:pPr>
            <w:r w:rsidRPr="00992766">
              <w:rPr>
                <w:sz w:val="20"/>
                <w:szCs w:val="20"/>
              </w:rPr>
              <w:t>ECONOMIC BENEFITS</w:t>
            </w:r>
          </w:p>
          <w:p w:rsidR="00CC4762" w:rsidRPr="00992766" w:rsidRDefault="00CC4762" w:rsidP="0017400D">
            <w:pPr>
              <w:jc w:val="center"/>
              <w:cnfStyle w:val="100000000000" w:firstRow="1" w:lastRow="0" w:firstColumn="0" w:lastColumn="0" w:oddVBand="0" w:evenVBand="0" w:oddHBand="0" w:evenHBand="0" w:firstRowFirstColumn="0" w:firstRowLastColumn="0" w:lastRowFirstColumn="0" w:lastRowLastColumn="0"/>
              <w:rPr>
                <w:sz w:val="20"/>
                <w:szCs w:val="20"/>
              </w:rPr>
            </w:pPr>
          </w:p>
        </w:tc>
      </w:tr>
      <w:tr w:rsidR="00CC4762" w:rsidRPr="00084ED3" w:rsidTr="0017400D">
        <w:trPr>
          <w:cnfStyle w:val="000000100000" w:firstRow="0" w:lastRow="0" w:firstColumn="0" w:lastColumn="0" w:oddVBand="0" w:evenVBand="0" w:oddHBand="1" w:evenHBand="0" w:firstRowFirstColumn="0" w:firstRowLastColumn="0" w:lastRowFirstColumn="0" w:lastRowLastColumn="0"/>
          <w:trHeight w:val="2416"/>
        </w:trPr>
        <w:tc>
          <w:tcPr>
            <w:cnfStyle w:val="001000000000" w:firstRow="0" w:lastRow="0" w:firstColumn="1" w:lastColumn="0" w:oddVBand="0" w:evenVBand="0" w:oddHBand="0" w:evenHBand="0" w:firstRowFirstColumn="0" w:firstRowLastColumn="0" w:lastRowFirstColumn="0" w:lastRowLastColumn="0"/>
            <w:tcW w:w="959" w:type="dxa"/>
            <w:shd w:val="clear" w:color="auto" w:fill="6ABAD0"/>
            <w:textDirection w:val="btLr"/>
            <w:vAlign w:val="center"/>
          </w:tcPr>
          <w:p w:rsidR="00CC4762" w:rsidRPr="00084ED3" w:rsidRDefault="00CC4762" w:rsidP="0017400D">
            <w:pPr>
              <w:pStyle w:val="ListParagraph"/>
              <w:ind w:left="360" w:right="113"/>
              <w:jc w:val="center"/>
            </w:pPr>
            <w:r w:rsidRPr="00992766">
              <w:rPr>
                <w:sz w:val="20"/>
                <w:szCs w:val="20"/>
              </w:rPr>
              <w:t>FARMER/ HOUSEHOLD LEVEL</w:t>
            </w:r>
          </w:p>
        </w:tc>
        <w:tc>
          <w:tcPr>
            <w:tcW w:w="3118" w:type="dxa"/>
            <w:shd w:val="clear" w:color="auto" w:fill="BFBFBF" w:themeFill="background1" w:themeFillShade="BF"/>
            <w:vAlign w:val="center"/>
          </w:tcPr>
          <w:p w:rsidR="00CC4762" w:rsidRPr="00992766" w:rsidRDefault="00CC4762" w:rsidP="00CC4762">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0"/>
                <w:szCs w:val="20"/>
              </w:rPr>
            </w:pPr>
            <w:r w:rsidRPr="00992766">
              <w:rPr>
                <w:sz w:val="20"/>
                <w:szCs w:val="20"/>
              </w:rPr>
              <w:t xml:space="preserve">Prevention of diseases related to indoor air pollution. </w:t>
            </w:r>
          </w:p>
          <w:p w:rsidR="00CC4762" w:rsidRPr="008340E4" w:rsidRDefault="00CC4762" w:rsidP="00CC4762">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0"/>
                <w:szCs w:val="20"/>
              </w:rPr>
            </w:pPr>
            <w:r w:rsidRPr="00902E86">
              <w:rPr>
                <w:sz w:val="20"/>
                <w:szCs w:val="20"/>
              </w:rPr>
              <w:t xml:space="preserve">Reduced time spent by women </w:t>
            </w:r>
            <w:r w:rsidRPr="00D11268">
              <w:rPr>
                <w:sz w:val="20"/>
                <w:szCs w:val="20"/>
              </w:rPr>
              <w:t>coll</w:t>
            </w:r>
            <w:r w:rsidRPr="00042C59">
              <w:rPr>
                <w:sz w:val="20"/>
                <w:szCs w:val="20"/>
              </w:rPr>
              <w:t xml:space="preserve">ecting firewood, carrying water </w:t>
            </w:r>
            <w:r w:rsidRPr="003F51E5">
              <w:rPr>
                <w:sz w:val="20"/>
                <w:szCs w:val="20"/>
              </w:rPr>
              <w:t>(Gender empowerment).</w:t>
            </w:r>
          </w:p>
          <w:p w:rsidR="00CC4762" w:rsidRPr="00992766" w:rsidRDefault="00CC4762" w:rsidP="00CC4762">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0"/>
                <w:szCs w:val="20"/>
              </w:rPr>
            </w:pPr>
            <w:r w:rsidRPr="00992766">
              <w:rPr>
                <w:sz w:val="20"/>
                <w:szCs w:val="20"/>
              </w:rPr>
              <w:t>Improved quality of life</w:t>
            </w:r>
            <w:r>
              <w:rPr>
                <w:sz w:val="20"/>
                <w:szCs w:val="20"/>
              </w:rPr>
              <w:t>.</w:t>
            </w:r>
          </w:p>
          <w:p w:rsidR="00CC4762" w:rsidRPr="00992766" w:rsidRDefault="00CC4762" w:rsidP="00CC4762">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0"/>
                <w:szCs w:val="20"/>
              </w:rPr>
            </w:pPr>
            <w:r w:rsidRPr="00992766">
              <w:rPr>
                <w:sz w:val="20"/>
                <w:szCs w:val="20"/>
              </w:rPr>
              <w:t>Improved education (e.g. increased time for studying)</w:t>
            </w:r>
            <w:r>
              <w:rPr>
                <w:sz w:val="20"/>
                <w:szCs w:val="20"/>
              </w:rPr>
              <w:t>.</w:t>
            </w:r>
          </w:p>
        </w:tc>
        <w:tc>
          <w:tcPr>
            <w:tcW w:w="2552" w:type="dxa"/>
            <w:vMerge w:val="restart"/>
            <w:shd w:val="clear" w:color="auto" w:fill="D3D3D3"/>
            <w:vAlign w:val="center"/>
          </w:tcPr>
          <w:p w:rsidR="00CC4762" w:rsidRPr="00992766" w:rsidRDefault="00CC4762" w:rsidP="00CC4762">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992766">
              <w:rPr>
                <w:sz w:val="20"/>
                <w:szCs w:val="20"/>
              </w:rPr>
              <w:t xml:space="preserve">Improved waste management (e.g. </w:t>
            </w:r>
            <w:r>
              <w:rPr>
                <w:sz w:val="20"/>
                <w:szCs w:val="20"/>
              </w:rPr>
              <w:t xml:space="preserve">manure </w:t>
            </w:r>
            <w:r w:rsidRPr="00992766">
              <w:rPr>
                <w:sz w:val="20"/>
                <w:szCs w:val="20"/>
              </w:rPr>
              <w:t>for biogas</w:t>
            </w:r>
            <w:r>
              <w:rPr>
                <w:sz w:val="20"/>
                <w:szCs w:val="20"/>
              </w:rPr>
              <w:t xml:space="preserve"> and </w:t>
            </w:r>
            <w:proofErr w:type="spellStart"/>
            <w:r>
              <w:rPr>
                <w:sz w:val="20"/>
                <w:szCs w:val="20"/>
              </w:rPr>
              <w:t>bioslurry</w:t>
            </w:r>
            <w:proofErr w:type="spellEnd"/>
            <w:r w:rsidRPr="00992766">
              <w:rPr>
                <w:sz w:val="20"/>
                <w:szCs w:val="20"/>
              </w:rPr>
              <w:t>)</w:t>
            </w:r>
            <w:r>
              <w:rPr>
                <w:sz w:val="20"/>
                <w:szCs w:val="20"/>
              </w:rPr>
              <w:t>.</w:t>
            </w:r>
          </w:p>
          <w:p w:rsidR="00CC4762" w:rsidRPr="00992766" w:rsidRDefault="00CC4762" w:rsidP="00CC4762">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992766">
              <w:rPr>
                <w:sz w:val="20"/>
                <w:szCs w:val="20"/>
              </w:rPr>
              <w:t xml:space="preserve">Reduced </w:t>
            </w:r>
            <w:r>
              <w:rPr>
                <w:sz w:val="20"/>
                <w:szCs w:val="20"/>
              </w:rPr>
              <w:t xml:space="preserve">GHG </w:t>
            </w:r>
            <w:r w:rsidRPr="00992766">
              <w:rPr>
                <w:sz w:val="20"/>
                <w:szCs w:val="20"/>
              </w:rPr>
              <w:t>emissions from lower consumption of fossil fuels</w:t>
            </w:r>
            <w:r>
              <w:rPr>
                <w:sz w:val="20"/>
                <w:szCs w:val="20"/>
              </w:rPr>
              <w:t>.</w:t>
            </w:r>
          </w:p>
          <w:p w:rsidR="00CC4762" w:rsidRPr="00992766" w:rsidRDefault="00CC4762" w:rsidP="00CC4762">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992766">
              <w:rPr>
                <w:sz w:val="20"/>
                <w:szCs w:val="20"/>
              </w:rPr>
              <w:t>Reduced emissions from transport of fuels</w:t>
            </w:r>
            <w:r>
              <w:rPr>
                <w:sz w:val="20"/>
                <w:szCs w:val="20"/>
              </w:rPr>
              <w:t>.</w:t>
            </w:r>
          </w:p>
          <w:p w:rsidR="00CC4762" w:rsidRPr="00992766" w:rsidRDefault="00CC4762" w:rsidP="00CC4762">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992766">
              <w:rPr>
                <w:sz w:val="20"/>
                <w:szCs w:val="20"/>
              </w:rPr>
              <w:t>Reduced deforestation</w:t>
            </w:r>
            <w:r>
              <w:rPr>
                <w:sz w:val="20"/>
                <w:szCs w:val="20"/>
              </w:rPr>
              <w:t>.</w:t>
            </w:r>
          </w:p>
          <w:p w:rsidR="00CC4762" w:rsidRPr="00992766" w:rsidRDefault="00CC4762" w:rsidP="0017400D">
            <w:pPr>
              <w:cnfStyle w:val="000000100000" w:firstRow="0" w:lastRow="0" w:firstColumn="0" w:lastColumn="0" w:oddVBand="0" w:evenVBand="0" w:oddHBand="1" w:evenHBand="0" w:firstRowFirstColumn="0" w:firstRowLastColumn="0" w:lastRowFirstColumn="0" w:lastRowLastColumn="0"/>
              <w:rPr>
                <w:b/>
                <w:bCs/>
                <w:i/>
                <w:iCs/>
                <w:sz w:val="20"/>
                <w:szCs w:val="20"/>
              </w:rPr>
            </w:pPr>
          </w:p>
        </w:tc>
        <w:tc>
          <w:tcPr>
            <w:tcW w:w="2551" w:type="dxa"/>
            <w:vMerge w:val="restart"/>
            <w:shd w:val="clear" w:color="auto" w:fill="BFBFBF" w:themeFill="background1" w:themeFillShade="BF"/>
            <w:vAlign w:val="center"/>
          </w:tcPr>
          <w:p w:rsidR="00CC4762" w:rsidRPr="00992766" w:rsidRDefault="00CC4762" w:rsidP="00CC4762">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992766">
              <w:rPr>
                <w:sz w:val="20"/>
                <w:szCs w:val="20"/>
              </w:rPr>
              <w:t>Increase in income due to increase in quantity and quality of products</w:t>
            </w:r>
            <w:r>
              <w:rPr>
                <w:sz w:val="20"/>
                <w:szCs w:val="20"/>
              </w:rPr>
              <w:t>.</w:t>
            </w:r>
          </w:p>
          <w:p w:rsidR="00CC4762" w:rsidRDefault="00CC4762" w:rsidP="00CC4762">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992766">
              <w:rPr>
                <w:sz w:val="20"/>
                <w:szCs w:val="20"/>
              </w:rPr>
              <w:t>Savings on fuel spending (for charcoal, kerosene, diesel etc.)</w:t>
            </w:r>
            <w:r>
              <w:rPr>
                <w:sz w:val="20"/>
                <w:szCs w:val="20"/>
              </w:rPr>
              <w:t>.</w:t>
            </w:r>
            <w:r w:rsidRPr="00992766">
              <w:rPr>
                <w:sz w:val="20"/>
                <w:szCs w:val="20"/>
              </w:rPr>
              <w:t xml:space="preserve"> </w:t>
            </w:r>
          </w:p>
          <w:p w:rsidR="0009201B" w:rsidRPr="00992766" w:rsidRDefault="0009201B" w:rsidP="00CC4762">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Improve access to markets</w:t>
            </w:r>
          </w:p>
        </w:tc>
      </w:tr>
      <w:tr w:rsidR="00CC4762" w:rsidRPr="00084ED3" w:rsidTr="0017400D">
        <w:trPr>
          <w:trHeight w:val="1833"/>
        </w:trPr>
        <w:tc>
          <w:tcPr>
            <w:cnfStyle w:val="001000000000" w:firstRow="0" w:lastRow="0" w:firstColumn="1" w:lastColumn="0" w:oddVBand="0" w:evenVBand="0" w:oddHBand="0" w:evenHBand="0" w:firstRowFirstColumn="0" w:firstRowLastColumn="0" w:lastRowFirstColumn="0" w:lastRowLastColumn="0"/>
            <w:tcW w:w="959" w:type="dxa"/>
            <w:shd w:val="clear" w:color="auto" w:fill="6ABAD0"/>
            <w:textDirection w:val="btLr"/>
            <w:vAlign w:val="center"/>
          </w:tcPr>
          <w:p w:rsidR="00CC4762" w:rsidRPr="00084ED3" w:rsidRDefault="00CC4762" w:rsidP="0017400D">
            <w:pPr>
              <w:pStyle w:val="ListParagraph"/>
              <w:ind w:left="360" w:right="113"/>
              <w:jc w:val="center"/>
            </w:pPr>
            <w:r w:rsidRPr="00992766">
              <w:rPr>
                <w:sz w:val="20"/>
                <w:szCs w:val="20"/>
              </w:rPr>
              <w:t>COMMUNITY / VILLAGE LEVEL</w:t>
            </w:r>
          </w:p>
        </w:tc>
        <w:tc>
          <w:tcPr>
            <w:tcW w:w="3118" w:type="dxa"/>
            <w:shd w:val="clear" w:color="auto" w:fill="BFBFBF" w:themeFill="background1" w:themeFillShade="BF"/>
            <w:vAlign w:val="center"/>
          </w:tcPr>
          <w:p w:rsidR="00CC4762" w:rsidRPr="00992766" w:rsidRDefault="00CC4762" w:rsidP="00CC4762">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20"/>
                <w:szCs w:val="20"/>
              </w:rPr>
            </w:pPr>
            <w:r w:rsidRPr="00992766">
              <w:rPr>
                <w:sz w:val="20"/>
                <w:szCs w:val="20"/>
              </w:rPr>
              <w:t>Prevention of malnutrition and food contamination (e.g. better storage, transportation).</w:t>
            </w:r>
          </w:p>
        </w:tc>
        <w:tc>
          <w:tcPr>
            <w:tcW w:w="2552" w:type="dxa"/>
            <w:vMerge/>
            <w:shd w:val="clear" w:color="auto" w:fill="D3D3D3"/>
          </w:tcPr>
          <w:p w:rsidR="00CC4762" w:rsidRPr="00992766" w:rsidRDefault="00CC4762" w:rsidP="0017400D">
            <w:pPr>
              <w:cnfStyle w:val="000000000000" w:firstRow="0" w:lastRow="0" w:firstColumn="0" w:lastColumn="0" w:oddVBand="0" w:evenVBand="0" w:oddHBand="0" w:evenHBand="0" w:firstRowFirstColumn="0" w:firstRowLastColumn="0" w:lastRowFirstColumn="0" w:lastRowLastColumn="0"/>
              <w:rPr>
                <w:sz w:val="20"/>
                <w:szCs w:val="20"/>
              </w:rPr>
            </w:pPr>
          </w:p>
        </w:tc>
        <w:tc>
          <w:tcPr>
            <w:tcW w:w="2551" w:type="dxa"/>
            <w:vMerge/>
            <w:shd w:val="clear" w:color="auto" w:fill="BFBFBF" w:themeFill="background1" w:themeFillShade="BF"/>
          </w:tcPr>
          <w:p w:rsidR="00CC4762" w:rsidRPr="00992766" w:rsidRDefault="00CC4762" w:rsidP="0017400D">
            <w:pPr>
              <w:cnfStyle w:val="000000000000" w:firstRow="0" w:lastRow="0" w:firstColumn="0" w:lastColumn="0" w:oddVBand="0" w:evenVBand="0" w:oddHBand="0" w:evenHBand="0" w:firstRowFirstColumn="0" w:firstRowLastColumn="0" w:lastRowFirstColumn="0" w:lastRowLastColumn="0"/>
              <w:rPr>
                <w:sz w:val="20"/>
                <w:szCs w:val="20"/>
              </w:rPr>
            </w:pPr>
          </w:p>
        </w:tc>
      </w:tr>
      <w:tr w:rsidR="00CC4762" w:rsidRPr="00084ED3" w:rsidTr="0017400D">
        <w:trPr>
          <w:cnfStyle w:val="000000100000" w:firstRow="0" w:lastRow="0" w:firstColumn="0" w:lastColumn="0" w:oddVBand="0" w:evenVBand="0" w:oddHBand="1" w:evenHBand="0" w:firstRowFirstColumn="0" w:firstRowLastColumn="0" w:lastRowFirstColumn="0" w:lastRowLastColumn="0"/>
          <w:trHeight w:val="2616"/>
        </w:trPr>
        <w:tc>
          <w:tcPr>
            <w:cnfStyle w:val="001000000000" w:firstRow="0" w:lastRow="0" w:firstColumn="1" w:lastColumn="0" w:oddVBand="0" w:evenVBand="0" w:oddHBand="0" w:evenHBand="0" w:firstRowFirstColumn="0" w:firstRowLastColumn="0" w:lastRowFirstColumn="0" w:lastRowLastColumn="0"/>
            <w:tcW w:w="959" w:type="dxa"/>
            <w:shd w:val="clear" w:color="auto" w:fill="6ABAD0"/>
            <w:textDirection w:val="btLr"/>
            <w:vAlign w:val="center"/>
          </w:tcPr>
          <w:p w:rsidR="00CC4762" w:rsidRPr="00992766" w:rsidRDefault="00CC4762" w:rsidP="0017400D">
            <w:pPr>
              <w:pStyle w:val="ListParagraph"/>
              <w:ind w:left="360" w:right="113"/>
              <w:jc w:val="center"/>
              <w:rPr>
                <w:sz w:val="20"/>
                <w:szCs w:val="20"/>
              </w:rPr>
            </w:pPr>
            <w:r w:rsidRPr="00992766">
              <w:rPr>
                <w:sz w:val="20"/>
                <w:szCs w:val="20"/>
              </w:rPr>
              <w:t>NATIONAL LEVEL</w:t>
            </w:r>
          </w:p>
        </w:tc>
        <w:tc>
          <w:tcPr>
            <w:tcW w:w="3118" w:type="dxa"/>
            <w:shd w:val="clear" w:color="auto" w:fill="BFBFBF" w:themeFill="background1" w:themeFillShade="BF"/>
            <w:vAlign w:val="center"/>
          </w:tcPr>
          <w:p w:rsidR="00CC4762" w:rsidRPr="00992766" w:rsidRDefault="00CC4762" w:rsidP="00CC4762">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992766">
              <w:rPr>
                <w:sz w:val="20"/>
                <w:szCs w:val="20"/>
              </w:rPr>
              <w:t xml:space="preserve">Improve food security </w:t>
            </w:r>
            <w:r w:rsidR="0009201B">
              <w:rPr>
                <w:sz w:val="20"/>
                <w:szCs w:val="20"/>
              </w:rPr>
              <w:t xml:space="preserve">and nutrition </w:t>
            </w:r>
            <w:r w:rsidRPr="00992766">
              <w:rPr>
                <w:sz w:val="20"/>
                <w:szCs w:val="20"/>
              </w:rPr>
              <w:t>by increasing quantity of food produced</w:t>
            </w:r>
            <w:r>
              <w:rPr>
                <w:sz w:val="20"/>
                <w:szCs w:val="20"/>
              </w:rPr>
              <w:t xml:space="preserve"> (reduced food waste)</w:t>
            </w:r>
            <w:r w:rsidRPr="00992766">
              <w:rPr>
                <w:sz w:val="20"/>
                <w:szCs w:val="20"/>
              </w:rPr>
              <w:t xml:space="preserve">, frequency of yields and diversity of products. </w:t>
            </w:r>
          </w:p>
        </w:tc>
        <w:tc>
          <w:tcPr>
            <w:tcW w:w="2552" w:type="dxa"/>
            <w:vMerge/>
            <w:shd w:val="clear" w:color="auto" w:fill="D3D3D3"/>
          </w:tcPr>
          <w:p w:rsidR="00CC4762" w:rsidRPr="00992766" w:rsidRDefault="00CC4762" w:rsidP="0017400D">
            <w:pPr>
              <w:cnfStyle w:val="000000100000" w:firstRow="0" w:lastRow="0" w:firstColumn="0" w:lastColumn="0" w:oddVBand="0" w:evenVBand="0" w:oddHBand="1" w:evenHBand="0" w:firstRowFirstColumn="0" w:firstRowLastColumn="0" w:lastRowFirstColumn="0" w:lastRowLastColumn="0"/>
              <w:rPr>
                <w:sz w:val="20"/>
                <w:szCs w:val="20"/>
              </w:rPr>
            </w:pPr>
          </w:p>
        </w:tc>
        <w:tc>
          <w:tcPr>
            <w:tcW w:w="2551" w:type="dxa"/>
            <w:shd w:val="clear" w:color="auto" w:fill="BFBFBF" w:themeFill="background1" w:themeFillShade="BF"/>
            <w:vAlign w:val="center"/>
          </w:tcPr>
          <w:p w:rsidR="00CC4762" w:rsidRPr="00992766" w:rsidRDefault="00CC4762" w:rsidP="00CC4762">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992766">
              <w:rPr>
                <w:sz w:val="20"/>
                <w:szCs w:val="20"/>
              </w:rPr>
              <w:t xml:space="preserve">Reduce government spending on subsidies for </w:t>
            </w:r>
            <w:r>
              <w:rPr>
                <w:sz w:val="20"/>
                <w:szCs w:val="20"/>
              </w:rPr>
              <w:t xml:space="preserve">fossil </w:t>
            </w:r>
            <w:r w:rsidRPr="00992766">
              <w:rPr>
                <w:sz w:val="20"/>
                <w:szCs w:val="20"/>
              </w:rPr>
              <w:t>fuel</w:t>
            </w:r>
            <w:r>
              <w:rPr>
                <w:sz w:val="20"/>
                <w:szCs w:val="20"/>
              </w:rPr>
              <w:t>s.</w:t>
            </w:r>
          </w:p>
          <w:p w:rsidR="00CC4762" w:rsidRPr="00992766" w:rsidRDefault="00CC4762" w:rsidP="00CC4762">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992766">
              <w:rPr>
                <w:sz w:val="20"/>
                <w:szCs w:val="20"/>
              </w:rPr>
              <w:t>Newly created jobs (increase in rural youth employment)</w:t>
            </w:r>
            <w:r>
              <w:rPr>
                <w:sz w:val="20"/>
                <w:szCs w:val="20"/>
              </w:rPr>
              <w:t>.</w:t>
            </w:r>
          </w:p>
          <w:p w:rsidR="00CC4762" w:rsidRPr="00992766" w:rsidRDefault="00CC4762" w:rsidP="00CC4762">
            <w:pPr>
              <w:pStyle w:val="ListParagraph"/>
              <w:keepNext/>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992766">
              <w:rPr>
                <w:sz w:val="20"/>
                <w:szCs w:val="20"/>
              </w:rPr>
              <w:t>Reducing food imports by increasing local food production</w:t>
            </w:r>
            <w:r>
              <w:rPr>
                <w:sz w:val="20"/>
                <w:szCs w:val="20"/>
              </w:rPr>
              <w:t>.</w:t>
            </w:r>
          </w:p>
        </w:tc>
      </w:tr>
    </w:tbl>
    <w:p w:rsidR="00CC4762" w:rsidRPr="00422B71" w:rsidRDefault="00CC4762" w:rsidP="00CC4762">
      <w:pPr>
        <w:pStyle w:val="Caption"/>
      </w:pPr>
      <w:bookmarkStart w:id="1" w:name="_Toc520967482"/>
      <w:r>
        <w:t xml:space="preserve">Figure </w:t>
      </w:r>
      <w:r w:rsidR="00714131">
        <w:rPr>
          <w:noProof/>
        </w:rPr>
        <w:fldChar w:fldCharType="begin"/>
      </w:r>
      <w:r w:rsidR="00714131">
        <w:rPr>
          <w:noProof/>
        </w:rPr>
        <w:instrText xml:space="preserve"> SEQ Figure \* ARABIC \s 1 </w:instrText>
      </w:r>
      <w:r w:rsidR="00714131">
        <w:rPr>
          <w:noProof/>
        </w:rPr>
        <w:fldChar w:fldCharType="separate"/>
      </w:r>
      <w:r>
        <w:rPr>
          <w:noProof/>
        </w:rPr>
        <w:t>1</w:t>
      </w:r>
      <w:r w:rsidR="00714131">
        <w:rPr>
          <w:noProof/>
        </w:rPr>
        <w:fldChar w:fldCharType="end"/>
      </w:r>
      <w:r>
        <w:t xml:space="preserve">.1: </w:t>
      </w:r>
      <w:r w:rsidRPr="00422B71">
        <w:t>Broader benefits of renewable energy in agriculture (adapted from IRENA 2016)</w:t>
      </w:r>
      <w:bookmarkEnd w:id="1"/>
    </w:p>
    <w:p w:rsidR="00CC4762" w:rsidRDefault="00CC4762" w:rsidP="00E318DB">
      <w:pPr>
        <w:spacing w:after="0" w:line="240" w:lineRule="auto"/>
        <w:ind w:right="-755"/>
        <w:jc w:val="right"/>
      </w:pPr>
    </w:p>
    <w:sectPr w:rsidR="00CC476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3CC305" w15:done="0"/>
  <w15:commentEx w15:paraId="14127E38" w15:done="0"/>
  <w15:commentEx w15:paraId="4B968849" w15:done="0"/>
  <w15:commentEx w15:paraId="2480F74C" w15:done="0"/>
  <w15:commentEx w15:paraId="6B5E96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310" w:rsidRDefault="00450310" w:rsidP="002649F5">
      <w:pPr>
        <w:spacing w:after="0" w:line="240" w:lineRule="auto"/>
      </w:pPr>
      <w:r>
        <w:separator/>
      </w:r>
    </w:p>
  </w:endnote>
  <w:endnote w:type="continuationSeparator" w:id="0">
    <w:p w:rsidR="00450310" w:rsidRDefault="00450310" w:rsidP="0026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khbar MT">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310" w:rsidRDefault="00450310" w:rsidP="002649F5">
      <w:pPr>
        <w:spacing w:after="0" w:line="240" w:lineRule="auto"/>
      </w:pPr>
      <w:r>
        <w:separator/>
      </w:r>
    </w:p>
  </w:footnote>
  <w:footnote w:type="continuationSeparator" w:id="0">
    <w:p w:rsidR="00450310" w:rsidRDefault="00450310" w:rsidP="002649F5">
      <w:pPr>
        <w:spacing w:after="0" w:line="240" w:lineRule="auto"/>
      </w:pPr>
      <w:r>
        <w:continuationSeparator/>
      </w:r>
    </w:p>
  </w:footnote>
  <w:footnote w:id="1">
    <w:p w:rsidR="0017400D" w:rsidRDefault="0017400D" w:rsidP="009135C2">
      <w:pPr>
        <w:pStyle w:val="FootnoteText"/>
      </w:pPr>
      <w:r>
        <w:rPr>
          <w:rStyle w:val="FootnoteReference"/>
        </w:rPr>
        <w:footnoteRef/>
      </w:r>
      <w:r>
        <w:t xml:space="preserve"> Interdivisional and interdepartmental collaboration is strongly encouraged. </w:t>
      </w:r>
    </w:p>
  </w:footnote>
  <w:footnote w:id="2">
    <w:p w:rsidR="0017400D" w:rsidRDefault="0017400D" w:rsidP="009135C2">
      <w:pPr>
        <w:pStyle w:val="FootnoteText"/>
      </w:pPr>
      <w:r>
        <w:rPr>
          <w:rStyle w:val="FootnoteReference"/>
        </w:rPr>
        <w:footnoteRef/>
      </w:r>
      <w:r>
        <w:t xml:space="preserve"> The indication of a strategic priority </w:t>
      </w:r>
      <w:r w:rsidRPr="00EF771B">
        <w:rPr>
          <w:b/>
          <w:bCs/>
        </w:rPr>
        <w:t>only applies to Global/Regional grants</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B52"/>
    <w:multiLevelType w:val="hybridMultilevel"/>
    <w:tmpl w:val="76922BEC"/>
    <w:lvl w:ilvl="0" w:tplc="E6889AF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284A34"/>
    <w:multiLevelType w:val="hybridMultilevel"/>
    <w:tmpl w:val="D478BCA2"/>
    <w:lvl w:ilvl="0" w:tplc="2004BE66">
      <w:start w:val="1"/>
      <w:numFmt w:val="decimal"/>
      <w:lvlText w:val="%1."/>
      <w:lvlJc w:val="left"/>
      <w:pPr>
        <w:ind w:left="36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3F2849"/>
    <w:multiLevelType w:val="hybridMultilevel"/>
    <w:tmpl w:val="5C489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7F7083"/>
    <w:multiLevelType w:val="hybridMultilevel"/>
    <w:tmpl w:val="368AC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30690A"/>
    <w:multiLevelType w:val="hybridMultilevel"/>
    <w:tmpl w:val="245E808E"/>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
    <w:nsid w:val="192312E0"/>
    <w:multiLevelType w:val="hybridMultilevel"/>
    <w:tmpl w:val="1CBCD7C4"/>
    <w:lvl w:ilvl="0" w:tplc="2004BE66">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AF31395"/>
    <w:multiLevelType w:val="hybridMultilevel"/>
    <w:tmpl w:val="C77A1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8779F9"/>
    <w:multiLevelType w:val="hybridMultilevel"/>
    <w:tmpl w:val="31282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F908C3"/>
    <w:multiLevelType w:val="hybridMultilevel"/>
    <w:tmpl w:val="23BE7C9E"/>
    <w:lvl w:ilvl="0" w:tplc="D6C4D352">
      <w:start w:val="1"/>
      <w:numFmt w:val="decimal"/>
      <w:lvlText w:val="%1."/>
      <w:lvlJc w:val="left"/>
      <w:pPr>
        <w:ind w:left="360" w:hanging="360"/>
      </w:pPr>
      <w:rPr>
        <w:sz w:val="16"/>
        <w:szCs w:val="16"/>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8F53BB8"/>
    <w:multiLevelType w:val="hybridMultilevel"/>
    <w:tmpl w:val="8EB8C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667D96"/>
    <w:multiLevelType w:val="hybridMultilevel"/>
    <w:tmpl w:val="8A427DB2"/>
    <w:lvl w:ilvl="0" w:tplc="2004BE66">
      <w:start w:val="1"/>
      <w:numFmt w:val="decimal"/>
      <w:lvlText w:val="%1."/>
      <w:lvlJc w:val="left"/>
      <w:pPr>
        <w:ind w:left="36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88169E"/>
    <w:multiLevelType w:val="hybridMultilevel"/>
    <w:tmpl w:val="7794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5C1794"/>
    <w:multiLevelType w:val="hybridMultilevel"/>
    <w:tmpl w:val="6EE4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A4242A"/>
    <w:multiLevelType w:val="hybridMultilevel"/>
    <w:tmpl w:val="1CB82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A02C3A"/>
    <w:multiLevelType w:val="hybridMultilevel"/>
    <w:tmpl w:val="DF42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E04560"/>
    <w:multiLevelType w:val="hybridMultilevel"/>
    <w:tmpl w:val="70E43C30"/>
    <w:lvl w:ilvl="0" w:tplc="2004BE66">
      <w:start w:val="1"/>
      <w:numFmt w:val="decimal"/>
      <w:lvlText w:val="%1."/>
      <w:lvlJc w:val="left"/>
      <w:pPr>
        <w:ind w:left="36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9DB6598"/>
    <w:multiLevelType w:val="hybridMultilevel"/>
    <w:tmpl w:val="725E24FC"/>
    <w:lvl w:ilvl="0" w:tplc="08090019">
      <w:start w:val="1"/>
      <w:numFmt w:val="lowerLetter"/>
      <w:lvlText w:val="%1."/>
      <w:lvlJc w:val="left"/>
      <w:pPr>
        <w:ind w:left="360" w:hanging="360"/>
      </w:pPr>
    </w:lvl>
    <w:lvl w:ilvl="1" w:tplc="39EA2ADC">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D3B755B"/>
    <w:multiLevelType w:val="hybridMultilevel"/>
    <w:tmpl w:val="AE34A308"/>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5E287B6C"/>
    <w:multiLevelType w:val="hybridMultilevel"/>
    <w:tmpl w:val="4FBEB6A8"/>
    <w:lvl w:ilvl="0" w:tplc="04100001">
      <w:start w:val="1"/>
      <w:numFmt w:val="bullet"/>
      <w:lvlText w:val=""/>
      <w:lvlJc w:val="left"/>
      <w:pPr>
        <w:tabs>
          <w:tab w:val="num" w:pos="720"/>
        </w:tabs>
        <w:ind w:left="720" w:hanging="360"/>
      </w:pPr>
      <w:rPr>
        <w:rFonts w:ascii="Symbol" w:hAnsi="Symbol" w:hint="default"/>
      </w:rPr>
    </w:lvl>
    <w:lvl w:ilvl="1" w:tplc="832C9D66">
      <w:start w:val="1"/>
      <w:numFmt w:val="bullet"/>
      <w:lvlText w:val=""/>
      <w:lvlJc w:val="left"/>
      <w:pPr>
        <w:tabs>
          <w:tab w:val="num" w:pos="1415"/>
        </w:tabs>
        <w:ind w:left="1415" w:hanging="335"/>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1A12627"/>
    <w:multiLevelType w:val="hybridMultilevel"/>
    <w:tmpl w:val="A042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4A7445"/>
    <w:multiLevelType w:val="hybridMultilevel"/>
    <w:tmpl w:val="BFC8F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8100D96"/>
    <w:multiLevelType w:val="hybridMultilevel"/>
    <w:tmpl w:val="BF96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652842"/>
    <w:multiLevelType w:val="hybridMultilevel"/>
    <w:tmpl w:val="6C4ABF4E"/>
    <w:lvl w:ilvl="0" w:tplc="2004BE66">
      <w:start w:val="1"/>
      <w:numFmt w:val="decimal"/>
      <w:lvlText w:val="%1."/>
      <w:lvlJc w:val="left"/>
      <w:pPr>
        <w:ind w:left="36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634757F"/>
    <w:multiLevelType w:val="hybridMultilevel"/>
    <w:tmpl w:val="AEB8488E"/>
    <w:lvl w:ilvl="0" w:tplc="38AC9154">
      <w:start w:val="1"/>
      <w:numFmt w:val="decimal"/>
      <w:lvlText w:val="%1."/>
      <w:lvlJc w:val="left"/>
      <w:pPr>
        <w:ind w:left="144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6A32C65"/>
    <w:multiLevelType w:val="hybridMultilevel"/>
    <w:tmpl w:val="A3206B7E"/>
    <w:lvl w:ilvl="0" w:tplc="0809000F">
      <w:start w:val="1"/>
      <w:numFmt w:val="decimal"/>
      <w:lvlText w:val="%1."/>
      <w:lvlJc w:val="left"/>
      <w:pPr>
        <w:ind w:left="144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AF270A0"/>
    <w:multiLevelType w:val="hybridMultilevel"/>
    <w:tmpl w:val="BD8424AC"/>
    <w:lvl w:ilvl="0" w:tplc="1BD8B67C">
      <w:start w:val="1"/>
      <w:numFmt w:val="lowerRoman"/>
      <w:lvlText w:val="%1."/>
      <w:lvlJc w:val="right"/>
      <w:pPr>
        <w:ind w:left="502"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B857FB9"/>
    <w:multiLevelType w:val="hybridMultilevel"/>
    <w:tmpl w:val="984AF7BE"/>
    <w:lvl w:ilvl="0" w:tplc="E7A692B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9"/>
  </w:num>
  <w:num w:numId="3">
    <w:abstractNumId w:val="24"/>
  </w:num>
  <w:num w:numId="4">
    <w:abstractNumId w:val="23"/>
  </w:num>
  <w:num w:numId="5">
    <w:abstractNumId w:val="7"/>
  </w:num>
  <w:num w:numId="6">
    <w:abstractNumId w:val="18"/>
  </w:num>
  <w:num w:numId="7">
    <w:abstractNumId w:val="4"/>
  </w:num>
  <w:num w:numId="8">
    <w:abstractNumId w:val="0"/>
  </w:num>
  <w:num w:numId="9">
    <w:abstractNumId w:val="11"/>
  </w:num>
  <w:num w:numId="10">
    <w:abstractNumId w:val="14"/>
  </w:num>
  <w:num w:numId="11">
    <w:abstractNumId w:val="21"/>
  </w:num>
  <w:num w:numId="12">
    <w:abstractNumId w:val="8"/>
  </w:num>
  <w:num w:numId="13">
    <w:abstractNumId w:val="13"/>
  </w:num>
  <w:num w:numId="14">
    <w:abstractNumId w:val="2"/>
  </w:num>
  <w:num w:numId="15">
    <w:abstractNumId w:val="17"/>
  </w:num>
  <w:num w:numId="16">
    <w:abstractNumId w:val="20"/>
  </w:num>
  <w:num w:numId="17">
    <w:abstractNumId w:val="25"/>
  </w:num>
  <w:num w:numId="18">
    <w:abstractNumId w:val="16"/>
  </w:num>
  <w:num w:numId="19">
    <w:abstractNumId w:val="5"/>
  </w:num>
  <w:num w:numId="20">
    <w:abstractNumId w:val="22"/>
  </w:num>
  <w:num w:numId="21">
    <w:abstractNumId w:val="10"/>
  </w:num>
  <w:num w:numId="22">
    <w:abstractNumId w:val="12"/>
  </w:num>
  <w:num w:numId="23">
    <w:abstractNumId w:val="15"/>
  </w:num>
  <w:num w:numId="24">
    <w:abstractNumId w:val="1"/>
  </w:num>
  <w:num w:numId="25">
    <w:abstractNumId w:val="26"/>
  </w:num>
  <w:num w:numId="26">
    <w:abstractNumId w:val="6"/>
  </w:num>
  <w:num w:numId="2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ngiafico, Maria Elena">
    <w15:presenceInfo w15:providerId="AD" w15:userId="S-1-5-21-1957994488-926492609-725345543-7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9F5"/>
    <w:rsid w:val="0001255A"/>
    <w:rsid w:val="00016228"/>
    <w:rsid w:val="00020753"/>
    <w:rsid w:val="0002685D"/>
    <w:rsid w:val="000330D8"/>
    <w:rsid w:val="00035612"/>
    <w:rsid w:val="00042164"/>
    <w:rsid w:val="000458E9"/>
    <w:rsid w:val="000473AD"/>
    <w:rsid w:val="00067730"/>
    <w:rsid w:val="000718C3"/>
    <w:rsid w:val="000759BF"/>
    <w:rsid w:val="00084439"/>
    <w:rsid w:val="000915B0"/>
    <w:rsid w:val="0009201B"/>
    <w:rsid w:val="000A6E3B"/>
    <w:rsid w:val="000B2F26"/>
    <w:rsid w:val="000B544D"/>
    <w:rsid w:val="000B62A5"/>
    <w:rsid w:val="000C39EA"/>
    <w:rsid w:val="000D10E4"/>
    <w:rsid w:val="000D3D88"/>
    <w:rsid w:val="000D4B7D"/>
    <w:rsid w:val="000E25D6"/>
    <w:rsid w:val="000E2EC0"/>
    <w:rsid w:val="000E7487"/>
    <w:rsid w:val="000E7831"/>
    <w:rsid w:val="000F379B"/>
    <w:rsid w:val="000F4733"/>
    <w:rsid w:val="00103058"/>
    <w:rsid w:val="00113088"/>
    <w:rsid w:val="00140D84"/>
    <w:rsid w:val="0017019A"/>
    <w:rsid w:val="0017400D"/>
    <w:rsid w:val="00176D2F"/>
    <w:rsid w:val="001A0A06"/>
    <w:rsid w:val="001C3CD6"/>
    <w:rsid w:val="001C6BD5"/>
    <w:rsid w:val="001D10E6"/>
    <w:rsid w:val="001E1648"/>
    <w:rsid w:val="001F3E9F"/>
    <w:rsid w:val="002039C8"/>
    <w:rsid w:val="002133F1"/>
    <w:rsid w:val="002156F4"/>
    <w:rsid w:val="00216810"/>
    <w:rsid w:val="00223D41"/>
    <w:rsid w:val="00230E05"/>
    <w:rsid w:val="00233472"/>
    <w:rsid w:val="00233C63"/>
    <w:rsid w:val="00240D9E"/>
    <w:rsid w:val="0024187C"/>
    <w:rsid w:val="00243A7C"/>
    <w:rsid w:val="00245B07"/>
    <w:rsid w:val="00255F53"/>
    <w:rsid w:val="002649F5"/>
    <w:rsid w:val="00281A75"/>
    <w:rsid w:val="0028360B"/>
    <w:rsid w:val="002946F8"/>
    <w:rsid w:val="00297BAC"/>
    <w:rsid w:val="002A7B34"/>
    <w:rsid w:val="002B1CC7"/>
    <w:rsid w:val="002B6172"/>
    <w:rsid w:val="002C0A76"/>
    <w:rsid w:val="002C1324"/>
    <w:rsid w:val="002D2691"/>
    <w:rsid w:val="002D2EA6"/>
    <w:rsid w:val="002D57A0"/>
    <w:rsid w:val="002D76DB"/>
    <w:rsid w:val="002D78FA"/>
    <w:rsid w:val="002E33AE"/>
    <w:rsid w:val="002F1E50"/>
    <w:rsid w:val="0031486C"/>
    <w:rsid w:val="0031540D"/>
    <w:rsid w:val="0034237D"/>
    <w:rsid w:val="00344A7C"/>
    <w:rsid w:val="00350852"/>
    <w:rsid w:val="00353FD7"/>
    <w:rsid w:val="003561FB"/>
    <w:rsid w:val="0035740D"/>
    <w:rsid w:val="00374221"/>
    <w:rsid w:val="003762F7"/>
    <w:rsid w:val="0038102C"/>
    <w:rsid w:val="00381203"/>
    <w:rsid w:val="00381422"/>
    <w:rsid w:val="003820F3"/>
    <w:rsid w:val="00387CA9"/>
    <w:rsid w:val="0039508E"/>
    <w:rsid w:val="003A0A03"/>
    <w:rsid w:val="003A5A53"/>
    <w:rsid w:val="003B058C"/>
    <w:rsid w:val="003D30F9"/>
    <w:rsid w:val="003D41E7"/>
    <w:rsid w:val="003D54B8"/>
    <w:rsid w:val="003D5BA4"/>
    <w:rsid w:val="003E28C6"/>
    <w:rsid w:val="003F026D"/>
    <w:rsid w:val="003F6139"/>
    <w:rsid w:val="00405A64"/>
    <w:rsid w:val="0043441F"/>
    <w:rsid w:val="004358C4"/>
    <w:rsid w:val="004479C2"/>
    <w:rsid w:val="00450310"/>
    <w:rsid w:val="00457242"/>
    <w:rsid w:val="00460984"/>
    <w:rsid w:val="00460E82"/>
    <w:rsid w:val="0046738E"/>
    <w:rsid w:val="0047429E"/>
    <w:rsid w:val="00483112"/>
    <w:rsid w:val="00484DC2"/>
    <w:rsid w:val="0049263E"/>
    <w:rsid w:val="00494C0C"/>
    <w:rsid w:val="004A1008"/>
    <w:rsid w:val="004A1639"/>
    <w:rsid w:val="004A1E4A"/>
    <w:rsid w:val="004A6EF9"/>
    <w:rsid w:val="004B46C8"/>
    <w:rsid w:val="004B6E3D"/>
    <w:rsid w:val="004C4C11"/>
    <w:rsid w:val="004C56A5"/>
    <w:rsid w:val="004C5BB2"/>
    <w:rsid w:val="004D3DBA"/>
    <w:rsid w:val="004D44B7"/>
    <w:rsid w:val="004D628D"/>
    <w:rsid w:val="004D6436"/>
    <w:rsid w:val="004E471A"/>
    <w:rsid w:val="004F1971"/>
    <w:rsid w:val="004F5B37"/>
    <w:rsid w:val="00500648"/>
    <w:rsid w:val="00511047"/>
    <w:rsid w:val="00513F44"/>
    <w:rsid w:val="0051413C"/>
    <w:rsid w:val="005160A5"/>
    <w:rsid w:val="00517423"/>
    <w:rsid w:val="005206C2"/>
    <w:rsid w:val="005268A9"/>
    <w:rsid w:val="00532731"/>
    <w:rsid w:val="005371DC"/>
    <w:rsid w:val="0054175B"/>
    <w:rsid w:val="00555816"/>
    <w:rsid w:val="0057316E"/>
    <w:rsid w:val="005740D3"/>
    <w:rsid w:val="0057429B"/>
    <w:rsid w:val="005A02A5"/>
    <w:rsid w:val="005A5625"/>
    <w:rsid w:val="005C5197"/>
    <w:rsid w:val="005C770C"/>
    <w:rsid w:val="005D0893"/>
    <w:rsid w:val="005D4C0D"/>
    <w:rsid w:val="005F1072"/>
    <w:rsid w:val="005F36EF"/>
    <w:rsid w:val="005F50AA"/>
    <w:rsid w:val="00602AD6"/>
    <w:rsid w:val="00603CAA"/>
    <w:rsid w:val="00607F95"/>
    <w:rsid w:val="00622ADA"/>
    <w:rsid w:val="006259DF"/>
    <w:rsid w:val="006263A2"/>
    <w:rsid w:val="00635793"/>
    <w:rsid w:val="00636E1D"/>
    <w:rsid w:val="006370FB"/>
    <w:rsid w:val="006403F7"/>
    <w:rsid w:val="006530E5"/>
    <w:rsid w:val="00654902"/>
    <w:rsid w:val="00655D89"/>
    <w:rsid w:val="00663B06"/>
    <w:rsid w:val="00665C5C"/>
    <w:rsid w:val="00672070"/>
    <w:rsid w:val="00672358"/>
    <w:rsid w:val="00675DE9"/>
    <w:rsid w:val="00693984"/>
    <w:rsid w:val="006B45AD"/>
    <w:rsid w:val="006C7AAD"/>
    <w:rsid w:val="006D553A"/>
    <w:rsid w:val="006D6AA7"/>
    <w:rsid w:val="006F34B1"/>
    <w:rsid w:val="007033EC"/>
    <w:rsid w:val="00705AFF"/>
    <w:rsid w:val="0071036E"/>
    <w:rsid w:val="00714131"/>
    <w:rsid w:val="007143ED"/>
    <w:rsid w:val="007421EB"/>
    <w:rsid w:val="0074480C"/>
    <w:rsid w:val="0075485F"/>
    <w:rsid w:val="00761145"/>
    <w:rsid w:val="0076792C"/>
    <w:rsid w:val="00767BB7"/>
    <w:rsid w:val="00777F3D"/>
    <w:rsid w:val="00790541"/>
    <w:rsid w:val="00791E81"/>
    <w:rsid w:val="007935EB"/>
    <w:rsid w:val="0079655F"/>
    <w:rsid w:val="007A5A8E"/>
    <w:rsid w:val="007B4E9B"/>
    <w:rsid w:val="007D4DA0"/>
    <w:rsid w:val="007F3D21"/>
    <w:rsid w:val="00800DD3"/>
    <w:rsid w:val="008200FA"/>
    <w:rsid w:val="00830C7C"/>
    <w:rsid w:val="00830F8E"/>
    <w:rsid w:val="00837E39"/>
    <w:rsid w:val="008407E7"/>
    <w:rsid w:val="0085419A"/>
    <w:rsid w:val="008548B2"/>
    <w:rsid w:val="0086028A"/>
    <w:rsid w:val="00885642"/>
    <w:rsid w:val="00891168"/>
    <w:rsid w:val="008B5CB4"/>
    <w:rsid w:val="008C5D5E"/>
    <w:rsid w:val="008D71A7"/>
    <w:rsid w:val="008F08BF"/>
    <w:rsid w:val="008F70D2"/>
    <w:rsid w:val="0090027E"/>
    <w:rsid w:val="009135C2"/>
    <w:rsid w:val="00916962"/>
    <w:rsid w:val="009224BF"/>
    <w:rsid w:val="00926B2F"/>
    <w:rsid w:val="00926B83"/>
    <w:rsid w:val="00936F7D"/>
    <w:rsid w:val="00937DAB"/>
    <w:rsid w:val="00946F24"/>
    <w:rsid w:val="009516EF"/>
    <w:rsid w:val="00957B54"/>
    <w:rsid w:val="00973B01"/>
    <w:rsid w:val="009749AC"/>
    <w:rsid w:val="00976B0D"/>
    <w:rsid w:val="00984FF4"/>
    <w:rsid w:val="009879BA"/>
    <w:rsid w:val="00991304"/>
    <w:rsid w:val="00991EC8"/>
    <w:rsid w:val="009920DB"/>
    <w:rsid w:val="00997986"/>
    <w:rsid w:val="009A3FA8"/>
    <w:rsid w:val="009A4FC7"/>
    <w:rsid w:val="009A6911"/>
    <w:rsid w:val="009C02E7"/>
    <w:rsid w:val="009C0C83"/>
    <w:rsid w:val="009D3E80"/>
    <w:rsid w:val="009E0491"/>
    <w:rsid w:val="009E7B9B"/>
    <w:rsid w:val="009F78BF"/>
    <w:rsid w:val="00A07F29"/>
    <w:rsid w:val="00A14BDA"/>
    <w:rsid w:val="00A2475C"/>
    <w:rsid w:val="00A27A99"/>
    <w:rsid w:val="00A310D0"/>
    <w:rsid w:val="00A352B5"/>
    <w:rsid w:val="00A51128"/>
    <w:rsid w:val="00A57D53"/>
    <w:rsid w:val="00A60C82"/>
    <w:rsid w:val="00A64DB4"/>
    <w:rsid w:val="00A71DC9"/>
    <w:rsid w:val="00A72E8E"/>
    <w:rsid w:val="00A752C1"/>
    <w:rsid w:val="00A94A7C"/>
    <w:rsid w:val="00AA3AD3"/>
    <w:rsid w:val="00AB7379"/>
    <w:rsid w:val="00AC08E1"/>
    <w:rsid w:val="00AC410E"/>
    <w:rsid w:val="00AC7242"/>
    <w:rsid w:val="00AE2705"/>
    <w:rsid w:val="00AE5253"/>
    <w:rsid w:val="00AF236A"/>
    <w:rsid w:val="00AF7F4D"/>
    <w:rsid w:val="00B238A7"/>
    <w:rsid w:val="00B26140"/>
    <w:rsid w:val="00B33F15"/>
    <w:rsid w:val="00B42E75"/>
    <w:rsid w:val="00B436C0"/>
    <w:rsid w:val="00B455EF"/>
    <w:rsid w:val="00B61D25"/>
    <w:rsid w:val="00B8448C"/>
    <w:rsid w:val="00B853FD"/>
    <w:rsid w:val="00B8628E"/>
    <w:rsid w:val="00B86A91"/>
    <w:rsid w:val="00B92F04"/>
    <w:rsid w:val="00B9562C"/>
    <w:rsid w:val="00BA092E"/>
    <w:rsid w:val="00BB6D12"/>
    <w:rsid w:val="00BB79D4"/>
    <w:rsid w:val="00BF23C7"/>
    <w:rsid w:val="00C04550"/>
    <w:rsid w:val="00C148A8"/>
    <w:rsid w:val="00C17E7B"/>
    <w:rsid w:val="00C25525"/>
    <w:rsid w:val="00C43E62"/>
    <w:rsid w:val="00C47BBA"/>
    <w:rsid w:val="00C5571C"/>
    <w:rsid w:val="00C61D77"/>
    <w:rsid w:val="00C676D3"/>
    <w:rsid w:val="00C71E85"/>
    <w:rsid w:val="00C80FCB"/>
    <w:rsid w:val="00C924B4"/>
    <w:rsid w:val="00CA1E56"/>
    <w:rsid w:val="00CA438B"/>
    <w:rsid w:val="00CA61C0"/>
    <w:rsid w:val="00CC08C0"/>
    <w:rsid w:val="00CC1FCB"/>
    <w:rsid w:val="00CC390E"/>
    <w:rsid w:val="00CC4762"/>
    <w:rsid w:val="00CD3197"/>
    <w:rsid w:val="00CD717F"/>
    <w:rsid w:val="00CD7A88"/>
    <w:rsid w:val="00CE1D0E"/>
    <w:rsid w:val="00CE2131"/>
    <w:rsid w:val="00CE2E31"/>
    <w:rsid w:val="00CF108F"/>
    <w:rsid w:val="00D21304"/>
    <w:rsid w:val="00D54709"/>
    <w:rsid w:val="00D557E3"/>
    <w:rsid w:val="00D65612"/>
    <w:rsid w:val="00D65F1D"/>
    <w:rsid w:val="00D6651A"/>
    <w:rsid w:val="00D71389"/>
    <w:rsid w:val="00D81B68"/>
    <w:rsid w:val="00D82A09"/>
    <w:rsid w:val="00D85B48"/>
    <w:rsid w:val="00D87DF3"/>
    <w:rsid w:val="00D958BB"/>
    <w:rsid w:val="00DA79E7"/>
    <w:rsid w:val="00DB111F"/>
    <w:rsid w:val="00DC41D1"/>
    <w:rsid w:val="00DC601F"/>
    <w:rsid w:val="00DD69A3"/>
    <w:rsid w:val="00DE08E5"/>
    <w:rsid w:val="00DE1345"/>
    <w:rsid w:val="00DE4030"/>
    <w:rsid w:val="00DF0262"/>
    <w:rsid w:val="00DF4F60"/>
    <w:rsid w:val="00E17D4D"/>
    <w:rsid w:val="00E20DD4"/>
    <w:rsid w:val="00E22283"/>
    <w:rsid w:val="00E22EC5"/>
    <w:rsid w:val="00E318DB"/>
    <w:rsid w:val="00E34AC6"/>
    <w:rsid w:val="00E34DF7"/>
    <w:rsid w:val="00E4590A"/>
    <w:rsid w:val="00E47815"/>
    <w:rsid w:val="00E57360"/>
    <w:rsid w:val="00E6690C"/>
    <w:rsid w:val="00E76527"/>
    <w:rsid w:val="00E77AC4"/>
    <w:rsid w:val="00E82CA2"/>
    <w:rsid w:val="00E85414"/>
    <w:rsid w:val="00E8574C"/>
    <w:rsid w:val="00E951D3"/>
    <w:rsid w:val="00EA4F8B"/>
    <w:rsid w:val="00EB1ADF"/>
    <w:rsid w:val="00EB2032"/>
    <w:rsid w:val="00EB5D37"/>
    <w:rsid w:val="00EB5D64"/>
    <w:rsid w:val="00ED171F"/>
    <w:rsid w:val="00ED440B"/>
    <w:rsid w:val="00EE5B64"/>
    <w:rsid w:val="00EF771B"/>
    <w:rsid w:val="00F04151"/>
    <w:rsid w:val="00F0628A"/>
    <w:rsid w:val="00F07210"/>
    <w:rsid w:val="00F10E6C"/>
    <w:rsid w:val="00F43106"/>
    <w:rsid w:val="00F54F37"/>
    <w:rsid w:val="00F613FC"/>
    <w:rsid w:val="00F66CBF"/>
    <w:rsid w:val="00F679E7"/>
    <w:rsid w:val="00F70654"/>
    <w:rsid w:val="00F72981"/>
    <w:rsid w:val="00F74C38"/>
    <w:rsid w:val="00F8022A"/>
    <w:rsid w:val="00F843A0"/>
    <w:rsid w:val="00F87E27"/>
    <w:rsid w:val="00F9174B"/>
    <w:rsid w:val="00F917D3"/>
    <w:rsid w:val="00FA12D5"/>
    <w:rsid w:val="00FA145D"/>
    <w:rsid w:val="00FA2D50"/>
    <w:rsid w:val="00FA486D"/>
    <w:rsid w:val="00FA6979"/>
    <w:rsid w:val="00FC0D7C"/>
    <w:rsid w:val="00FC1C6F"/>
    <w:rsid w:val="00FD0D1A"/>
    <w:rsid w:val="00FD3EC3"/>
    <w:rsid w:val="00FE52E5"/>
    <w:rsid w:val="00FE56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9F5"/>
  </w:style>
  <w:style w:type="paragraph" w:styleId="Heading4">
    <w:name w:val="heading 4"/>
    <w:basedOn w:val="Normal"/>
    <w:next w:val="Normal"/>
    <w:link w:val="Heading4Char"/>
    <w:uiPriority w:val="9"/>
    <w:unhideWhenUsed/>
    <w:qFormat/>
    <w:rsid w:val="000B62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DB paragraph numbering,Colorful List - Accent 11,List Paragraph-ExecSummary,List Paragraph (numbered (a)),References,WB List Paragraph,Dot pt,F5 List Paragraph,List Paragraph1,No Spacing1,List Paragraph Char Char Char,Indicator Text"/>
    <w:basedOn w:val="Normal"/>
    <w:link w:val="ListParagraphChar"/>
    <w:uiPriority w:val="34"/>
    <w:qFormat/>
    <w:rsid w:val="002649F5"/>
    <w:pPr>
      <w:ind w:left="720"/>
      <w:contextualSpacing/>
    </w:pPr>
  </w:style>
  <w:style w:type="paragraph" w:styleId="FootnoteText">
    <w:name w:val="footnote text"/>
    <w:basedOn w:val="Normal"/>
    <w:link w:val="FootnoteTextChar"/>
    <w:uiPriority w:val="99"/>
    <w:unhideWhenUsed/>
    <w:rsid w:val="002649F5"/>
    <w:pPr>
      <w:spacing w:after="0" w:line="240" w:lineRule="auto"/>
    </w:pPr>
    <w:rPr>
      <w:sz w:val="20"/>
      <w:szCs w:val="20"/>
    </w:rPr>
  </w:style>
  <w:style w:type="character" w:customStyle="1" w:styleId="FootnoteTextChar">
    <w:name w:val="Footnote Text Char"/>
    <w:basedOn w:val="DefaultParagraphFont"/>
    <w:link w:val="FootnoteText"/>
    <w:uiPriority w:val="99"/>
    <w:rsid w:val="002649F5"/>
    <w:rPr>
      <w:sz w:val="20"/>
      <w:szCs w:val="20"/>
    </w:rPr>
  </w:style>
  <w:style w:type="character" w:styleId="FootnoteReference">
    <w:name w:val="footnote reference"/>
    <w:aliases w:val="ftref"/>
    <w:basedOn w:val="DefaultParagraphFont"/>
    <w:uiPriority w:val="99"/>
    <w:semiHidden/>
    <w:unhideWhenUsed/>
    <w:rsid w:val="002649F5"/>
    <w:rPr>
      <w:vertAlign w:val="superscript"/>
    </w:rPr>
  </w:style>
  <w:style w:type="character" w:styleId="Hyperlink">
    <w:name w:val="Hyperlink"/>
    <w:basedOn w:val="DefaultParagraphFont"/>
    <w:uiPriority w:val="99"/>
    <w:unhideWhenUsed/>
    <w:rsid w:val="002649F5"/>
    <w:rPr>
      <w:color w:val="0000FF" w:themeColor="hyperlink"/>
      <w:u w:val="single"/>
    </w:rPr>
  </w:style>
  <w:style w:type="table" w:styleId="TableGrid">
    <w:name w:val="Table Grid"/>
    <w:basedOn w:val="TableNormal"/>
    <w:rsid w:val="00264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2649F5"/>
    <w:rPr>
      <w:b/>
      <w:bCs/>
      <w:smallCaps/>
      <w:spacing w:val="5"/>
    </w:rPr>
  </w:style>
  <w:style w:type="paragraph" w:styleId="BalloonText">
    <w:name w:val="Balloon Text"/>
    <w:basedOn w:val="Normal"/>
    <w:link w:val="BalloonTextChar"/>
    <w:uiPriority w:val="99"/>
    <w:semiHidden/>
    <w:unhideWhenUsed/>
    <w:rsid w:val="00084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439"/>
    <w:rPr>
      <w:rFonts w:ascii="Tahoma" w:hAnsi="Tahoma" w:cs="Tahoma"/>
      <w:sz w:val="16"/>
      <w:szCs w:val="16"/>
    </w:rPr>
  </w:style>
  <w:style w:type="paragraph" w:styleId="Header">
    <w:name w:val="header"/>
    <w:basedOn w:val="Normal"/>
    <w:link w:val="HeaderChar"/>
    <w:uiPriority w:val="99"/>
    <w:unhideWhenUsed/>
    <w:rsid w:val="000D4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B7D"/>
  </w:style>
  <w:style w:type="paragraph" w:styleId="Footer">
    <w:name w:val="footer"/>
    <w:basedOn w:val="Normal"/>
    <w:link w:val="FooterChar"/>
    <w:uiPriority w:val="99"/>
    <w:unhideWhenUsed/>
    <w:rsid w:val="000D4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B7D"/>
  </w:style>
  <w:style w:type="character" w:styleId="FollowedHyperlink">
    <w:name w:val="FollowedHyperlink"/>
    <w:basedOn w:val="DefaultParagraphFont"/>
    <w:uiPriority w:val="99"/>
    <w:semiHidden/>
    <w:unhideWhenUsed/>
    <w:rsid w:val="000D4B7D"/>
    <w:rPr>
      <w:color w:val="800080" w:themeColor="followedHyperlink"/>
      <w:u w:val="single"/>
    </w:rPr>
  </w:style>
  <w:style w:type="character" w:styleId="PlaceholderText">
    <w:name w:val="Placeholder Text"/>
    <w:basedOn w:val="DefaultParagraphFont"/>
    <w:uiPriority w:val="99"/>
    <w:semiHidden/>
    <w:rsid w:val="00A27A99"/>
    <w:rPr>
      <w:color w:val="808080"/>
    </w:rPr>
  </w:style>
  <w:style w:type="character" w:styleId="CommentReference">
    <w:name w:val="annotation reference"/>
    <w:basedOn w:val="DefaultParagraphFont"/>
    <w:uiPriority w:val="99"/>
    <w:unhideWhenUsed/>
    <w:rsid w:val="002B1CC7"/>
    <w:rPr>
      <w:sz w:val="18"/>
      <w:szCs w:val="18"/>
    </w:rPr>
  </w:style>
  <w:style w:type="paragraph" w:styleId="CommentText">
    <w:name w:val="annotation text"/>
    <w:basedOn w:val="Normal"/>
    <w:link w:val="CommentTextChar"/>
    <w:uiPriority w:val="99"/>
    <w:unhideWhenUsed/>
    <w:rsid w:val="002B1CC7"/>
    <w:pPr>
      <w:spacing w:line="240" w:lineRule="auto"/>
    </w:pPr>
    <w:rPr>
      <w:sz w:val="24"/>
      <w:szCs w:val="24"/>
    </w:rPr>
  </w:style>
  <w:style w:type="character" w:customStyle="1" w:styleId="CommentTextChar">
    <w:name w:val="Comment Text Char"/>
    <w:basedOn w:val="DefaultParagraphFont"/>
    <w:link w:val="CommentText"/>
    <w:uiPriority w:val="99"/>
    <w:rsid w:val="002B1CC7"/>
    <w:rPr>
      <w:sz w:val="24"/>
      <w:szCs w:val="24"/>
    </w:rPr>
  </w:style>
  <w:style w:type="paragraph" w:styleId="CommentSubject">
    <w:name w:val="annotation subject"/>
    <w:basedOn w:val="CommentText"/>
    <w:next w:val="CommentText"/>
    <w:link w:val="CommentSubjectChar"/>
    <w:uiPriority w:val="99"/>
    <w:semiHidden/>
    <w:unhideWhenUsed/>
    <w:rsid w:val="002B1CC7"/>
    <w:rPr>
      <w:b/>
      <w:bCs/>
      <w:sz w:val="20"/>
      <w:szCs w:val="20"/>
    </w:rPr>
  </w:style>
  <w:style w:type="character" w:customStyle="1" w:styleId="CommentSubjectChar">
    <w:name w:val="Comment Subject Char"/>
    <w:basedOn w:val="CommentTextChar"/>
    <w:link w:val="CommentSubject"/>
    <w:uiPriority w:val="99"/>
    <w:semiHidden/>
    <w:rsid w:val="002B1CC7"/>
    <w:rPr>
      <w:b/>
      <w:bCs/>
      <w:sz w:val="20"/>
      <w:szCs w:val="20"/>
    </w:rPr>
  </w:style>
  <w:style w:type="character" w:customStyle="1" w:styleId="Heading4Char">
    <w:name w:val="Heading 4 Char"/>
    <w:basedOn w:val="DefaultParagraphFont"/>
    <w:link w:val="Heading4"/>
    <w:uiPriority w:val="9"/>
    <w:rsid w:val="000B62A5"/>
    <w:rPr>
      <w:rFonts w:asciiTheme="majorHAnsi" w:eastAsiaTheme="majorEastAsia" w:hAnsiTheme="majorHAnsi" w:cstheme="majorBidi"/>
      <w:b/>
      <w:bCs/>
      <w:i/>
      <w:iCs/>
      <w:color w:val="4F81BD" w:themeColor="accent1"/>
    </w:rPr>
  </w:style>
  <w:style w:type="character" w:customStyle="1" w:styleId="ListParagraphChar">
    <w:name w:val="List Paragraph Char"/>
    <w:aliases w:val="ADB paragraph numbering Char,Colorful List - Accent 11 Char,List Paragraph-ExecSummary Char,List Paragraph (numbered (a)) Char,References Char,WB List Paragraph Char,Dot pt Char,F5 List Paragraph Char,List Paragraph1 Char"/>
    <w:basedOn w:val="DefaultParagraphFont"/>
    <w:link w:val="ListParagraph"/>
    <w:uiPriority w:val="34"/>
    <w:qFormat/>
    <w:rsid w:val="00CC4762"/>
  </w:style>
  <w:style w:type="paragraph" w:styleId="Caption">
    <w:name w:val="caption"/>
    <w:basedOn w:val="Normal"/>
    <w:next w:val="Normal"/>
    <w:uiPriority w:val="35"/>
    <w:unhideWhenUsed/>
    <w:qFormat/>
    <w:rsid w:val="00CC4762"/>
    <w:pPr>
      <w:spacing w:line="240" w:lineRule="auto"/>
    </w:pPr>
    <w:rPr>
      <w:b/>
      <w:bCs/>
      <w:i/>
      <w:sz w:val="18"/>
      <w:szCs w:val="18"/>
    </w:rPr>
  </w:style>
  <w:style w:type="table" w:styleId="MediumGrid3-Accent4">
    <w:name w:val="Medium Grid 3 Accent 4"/>
    <w:basedOn w:val="TableNormal"/>
    <w:uiPriority w:val="69"/>
    <w:rsid w:val="00CC47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customStyle="1" w:styleId="IFADparagraphnumbering">
    <w:name w:val="IFAD paragraph numbering"/>
    <w:basedOn w:val="Normal"/>
    <w:link w:val="IFADparagraphnumberingChar"/>
    <w:qFormat/>
    <w:rsid w:val="00BB6D12"/>
    <w:pPr>
      <w:tabs>
        <w:tab w:val="num" w:pos="567"/>
        <w:tab w:val="left" w:pos="1134"/>
      </w:tabs>
      <w:suppressAutoHyphens/>
      <w:spacing w:after="120" w:line="264" w:lineRule="auto"/>
    </w:pPr>
    <w:rPr>
      <w:rFonts w:ascii="Arial" w:eastAsia="MS Mincho" w:hAnsi="Arial" w:cs="Arial"/>
      <w:kern w:val="2"/>
      <w:sz w:val="24"/>
      <w:lang w:val="en-CA"/>
    </w:rPr>
  </w:style>
  <w:style w:type="character" w:customStyle="1" w:styleId="IFADparagraphnumberingChar">
    <w:name w:val="IFAD paragraph numbering Char"/>
    <w:link w:val="IFADparagraphnumbering"/>
    <w:locked/>
    <w:rsid w:val="00BB6D12"/>
    <w:rPr>
      <w:rFonts w:ascii="Arial" w:eastAsia="MS Mincho" w:hAnsi="Arial" w:cs="Arial"/>
      <w:kern w:val="2"/>
      <w:sz w:val="24"/>
      <w:lang w:val="en-CA"/>
    </w:rPr>
  </w:style>
  <w:style w:type="paragraph" w:styleId="Revision">
    <w:name w:val="Revision"/>
    <w:hidden/>
    <w:uiPriority w:val="99"/>
    <w:semiHidden/>
    <w:rsid w:val="003154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9F5"/>
  </w:style>
  <w:style w:type="paragraph" w:styleId="Heading4">
    <w:name w:val="heading 4"/>
    <w:basedOn w:val="Normal"/>
    <w:next w:val="Normal"/>
    <w:link w:val="Heading4Char"/>
    <w:uiPriority w:val="9"/>
    <w:unhideWhenUsed/>
    <w:qFormat/>
    <w:rsid w:val="000B62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DB paragraph numbering,Colorful List - Accent 11,List Paragraph-ExecSummary,List Paragraph (numbered (a)),References,WB List Paragraph,Dot pt,F5 List Paragraph,List Paragraph1,No Spacing1,List Paragraph Char Char Char,Indicator Text"/>
    <w:basedOn w:val="Normal"/>
    <w:link w:val="ListParagraphChar"/>
    <w:uiPriority w:val="34"/>
    <w:qFormat/>
    <w:rsid w:val="002649F5"/>
    <w:pPr>
      <w:ind w:left="720"/>
      <w:contextualSpacing/>
    </w:pPr>
  </w:style>
  <w:style w:type="paragraph" w:styleId="FootnoteText">
    <w:name w:val="footnote text"/>
    <w:basedOn w:val="Normal"/>
    <w:link w:val="FootnoteTextChar"/>
    <w:uiPriority w:val="99"/>
    <w:unhideWhenUsed/>
    <w:rsid w:val="002649F5"/>
    <w:pPr>
      <w:spacing w:after="0" w:line="240" w:lineRule="auto"/>
    </w:pPr>
    <w:rPr>
      <w:sz w:val="20"/>
      <w:szCs w:val="20"/>
    </w:rPr>
  </w:style>
  <w:style w:type="character" w:customStyle="1" w:styleId="FootnoteTextChar">
    <w:name w:val="Footnote Text Char"/>
    <w:basedOn w:val="DefaultParagraphFont"/>
    <w:link w:val="FootnoteText"/>
    <w:uiPriority w:val="99"/>
    <w:rsid w:val="002649F5"/>
    <w:rPr>
      <w:sz w:val="20"/>
      <w:szCs w:val="20"/>
    </w:rPr>
  </w:style>
  <w:style w:type="character" w:styleId="FootnoteReference">
    <w:name w:val="footnote reference"/>
    <w:aliases w:val="ftref"/>
    <w:basedOn w:val="DefaultParagraphFont"/>
    <w:uiPriority w:val="99"/>
    <w:semiHidden/>
    <w:unhideWhenUsed/>
    <w:rsid w:val="002649F5"/>
    <w:rPr>
      <w:vertAlign w:val="superscript"/>
    </w:rPr>
  </w:style>
  <w:style w:type="character" w:styleId="Hyperlink">
    <w:name w:val="Hyperlink"/>
    <w:basedOn w:val="DefaultParagraphFont"/>
    <w:uiPriority w:val="99"/>
    <w:unhideWhenUsed/>
    <w:rsid w:val="002649F5"/>
    <w:rPr>
      <w:color w:val="0000FF" w:themeColor="hyperlink"/>
      <w:u w:val="single"/>
    </w:rPr>
  </w:style>
  <w:style w:type="table" w:styleId="TableGrid">
    <w:name w:val="Table Grid"/>
    <w:basedOn w:val="TableNormal"/>
    <w:rsid w:val="00264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2649F5"/>
    <w:rPr>
      <w:b/>
      <w:bCs/>
      <w:smallCaps/>
      <w:spacing w:val="5"/>
    </w:rPr>
  </w:style>
  <w:style w:type="paragraph" w:styleId="BalloonText">
    <w:name w:val="Balloon Text"/>
    <w:basedOn w:val="Normal"/>
    <w:link w:val="BalloonTextChar"/>
    <w:uiPriority w:val="99"/>
    <w:semiHidden/>
    <w:unhideWhenUsed/>
    <w:rsid w:val="00084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439"/>
    <w:rPr>
      <w:rFonts w:ascii="Tahoma" w:hAnsi="Tahoma" w:cs="Tahoma"/>
      <w:sz w:val="16"/>
      <w:szCs w:val="16"/>
    </w:rPr>
  </w:style>
  <w:style w:type="paragraph" w:styleId="Header">
    <w:name w:val="header"/>
    <w:basedOn w:val="Normal"/>
    <w:link w:val="HeaderChar"/>
    <w:uiPriority w:val="99"/>
    <w:unhideWhenUsed/>
    <w:rsid w:val="000D4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B7D"/>
  </w:style>
  <w:style w:type="paragraph" w:styleId="Footer">
    <w:name w:val="footer"/>
    <w:basedOn w:val="Normal"/>
    <w:link w:val="FooterChar"/>
    <w:uiPriority w:val="99"/>
    <w:unhideWhenUsed/>
    <w:rsid w:val="000D4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B7D"/>
  </w:style>
  <w:style w:type="character" w:styleId="FollowedHyperlink">
    <w:name w:val="FollowedHyperlink"/>
    <w:basedOn w:val="DefaultParagraphFont"/>
    <w:uiPriority w:val="99"/>
    <w:semiHidden/>
    <w:unhideWhenUsed/>
    <w:rsid w:val="000D4B7D"/>
    <w:rPr>
      <w:color w:val="800080" w:themeColor="followedHyperlink"/>
      <w:u w:val="single"/>
    </w:rPr>
  </w:style>
  <w:style w:type="character" w:styleId="PlaceholderText">
    <w:name w:val="Placeholder Text"/>
    <w:basedOn w:val="DefaultParagraphFont"/>
    <w:uiPriority w:val="99"/>
    <w:semiHidden/>
    <w:rsid w:val="00A27A99"/>
    <w:rPr>
      <w:color w:val="808080"/>
    </w:rPr>
  </w:style>
  <w:style w:type="character" w:styleId="CommentReference">
    <w:name w:val="annotation reference"/>
    <w:basedOn w:val="DefaultParagraphFont"/>
    <w:uiPriority w:val="99"/>
    <w:unhideWhenUsed/>
    <w:rsid w:val="002B1CC7"/>
    <w:rPr>
      <w:sz w:val="18"/>
      <w:szCs w:val="18"/>
    </w:rPr>
  </w:style>
  <w:style w:type="paragraph" w:styleId="CommentText">
    <w:name w:val="annotation text"/>
    <w:basedOn w:val="Normal"/>
    <w:link w:val="CommentTextChar"/>
    <w:uiPriority w:val="99"/>
    <w:unhideWhenUsed/>
    <w:rsid w:val="002B1CC7"/>
    <w:pPr>
      <w:spacing w:line="240" w:lineRule="auto"/>
    </w:pPr>
    <w:rPr>
      <w:sz w:val="24"/>
      <w:szCs w:val="24"/>
    </w:rPr>
  </w:style>
  <w:style w:type="character" w:customStyle="1" w:styleId="CommentTextChar">
    <w:name w:val="Comment Text Char"/>
    <w:basedOn w:val="DefaultParagraphFont"/>
    <w:link w:val="CommentText"/>
    <w:uiPriority w:val="99"/>
    <w:rsid w:val="002B1CC7"/>
    <w:rPr>
      <w:sz w:val="24"/>
      <w:szCs w:val="24"/>
    </w:rPr>
  </w:style>
  <w:style w:type="paragraph" w:styleId="CommentSubject">
    <w:name w:val="annotation subject"/>
    <w:basedOn w:val="CommentText"/>
    <w:next w:val="CommentText"/>
    <w:link w:val="CommentSubjectChar"/>
    <w:uiPriority w:val="99"/>
    <w:semiHidden/>
    <w:unhideWhenUsed/>
    <w:rsid w:val="002B1CC7"/>
    <w:rPr>
      <w:b/>
      <w:bCs/>
      <w:sz w:val="20"/>
      <w:szCs w:val="20"/>
    </w:rPr>
  </w:style>
  <w:style w:type="character" w:customStyle="1" w:styleId="CommentSubjectChar">
    <w:name w:val="Comment Subject Char"/>
    <w:basedOn w:val="CommentTextChar"/>
    <w:link w:val="CommentSubject"/>
    <w:uiPriority w:val="99"/>
    <w:semiHidden/>
    <w:rsid w:val="002B1CC7"/>
    <w:rPr>
      <w:b/>
      <w:bCs/>
      <w:sz w:val="20"/>
      <w:szCs w:val="20"/>
    </w:rPr>
  </w:style>
  <w:style w:type="character" w:customStyle="1" w:styleId="Heading4Char">
    <w:name w:val="Heading 4 Char"/>
    <w:basedOn w:val="DefaultParagraphFont"/>
    <w:link w:val="Heading4"/>
    <w:uiPriority w:val="9"/>
    <w:rsid w:val="000B62A5"/>
    <w:rPr>
      <w:rFonts w:asciiTheme="majorHAnsi" w:eastAsiaTheme="majorEastAsia" w:hAnsiTheme="majorHAnsi" w:cstheme="majorBidi"/>
      <w:b/>
      <w:bCs/>
      <w:i/>
      <w:iCs/>
      <w:color w:val="4F81BD" w:themeColor="accent1"/>
    </w:rPr>
  </w:style>
  <w:style w:type="character" w:customStyle="1" w:styleId="ListParagraphChar">
    <w:name w:val="List Paragraph Char"/>
    <w:aliases w:val="ADB paragraph numbering Char,Colorful List - Accent 11 Char,List Paragraph-ExecSummary Char,List Paragraph (numbered (a)) Char,References Char,WB List Paragraph Char,Dot pt Char,F5 List Paragraph Char,List Paragraph1 Char"/>
    <w:basedOn w:val="DefaultParagraphFont"/>
    <w:link w:val="ListParagraph"/>
    <w:uiPriority w:val="34"/>
    <w:qFormat/>
    <w:rsid w:val="00CC4762"/>
  </w:style>
  <w:style w:type="paragraph" w:styleId="Caption">
    <w:name w:val="caption"/>
    <w:basedOn w:val="Normal"/>
    <w:next w:val="Normal"/>
    <w:uiPriority w:val="35"/>
    <w:unhideWhenUsed/>
    <w:qFormat/>
    <w:rsid w:val="00CC4762"/>
    <w:pPr>
      <w:spacing w:line="240" w:lineRule="auto"/>
    </w:pPr>
    <w:rPr>
      <w:b/>
      <w:bCs/>
      <w:i/>
      <w:sz w:val="18"/>
      <w:szCs w:val="18"/>
    </w:rPr>
  </w:style>
  <w:style w:type="table" w:styleId="MediumGrid3-Accent4">
    <w:name w:val="Medium Grid 3 Accent 4"/>
    <w:basedOn w:val="TableNormal"/>
    <w:uiPriority w:val="69"/>
    <w:rsid w:val="00CC47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customStyle="1" w:styleId="IFADparagraphnumbering">
    <w:name w:val="IFAD paragraph numbering"/>
    <w:basedOn w:val="Normal"/>
    <w:link w:val="IFADparagraphnumberingChar"/>
    <w:qFormat/>
    <w:rsid w:val="00BB6D12"/>
    <w:pPr>
      <w:tabs>
        <w:tab w:val="num" w:pos="567"/>
        <w:tab w:val="left" w:pos="1134"/>
      </w:tabs>
      <w:suppressAutoHyphens/>
      <w:spacing w:after="120" w:line="264" w:lineRule="auto"/>
    </w:pPr>
    <w:rPr>
      <w:rFonts w:ascii="Arial" w:eastAsia="MS Mincho" w:hAnsi="Arial" w:cs="Arial"/>
      <w:kern w:val="2"/>
      <w:sz w:val="24"/>
      <w:lang w:val="en-CA"/>
    </w:rPr>
  </w:style>
  <w:style w:type="character" w:customStyle="1" w:styleId="IFADparagraphnumberingChar">
    <w:name w:val="IFAD paragraph numbering Char"/>
    <w:link w:val="IFADparagraphnumbering"/>
    <w:locked/>
    <w:rsid w:val="00BB6D12"/>
    <w:rPr>
      <w:rFonts w:ascii="Arial" w:eastAsia="MS Mincho" w:hAnsi="Arial" w:cs="Arial"/>
      <w:kern w:val="2"/>
      <w:sz w:val="24"/>
      <w:lang w:val="en-CA"/>
    </w:rPr>
  </w:style>
  <w:style w:type="paragraph" w:styleId="Revision">
    <w:name w:val="Revision"/>
    <w:hidden/>
    <w:uiPriority w:val="99"/>
    <w:semiHidden/>
    <w:rsid w:val="003154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1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C4462EC3-D3F4-4D1D-AA1C-CFCA13AE4ED9}"/>
      </w:docPartPr>
      <w:docPartBody>
        <w:p w:rsidR="00CA6AC1" w:rsidRDefault="00A55233">
          <w:r w:rsidRPr="007430B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khbar MT">
    <w:panose1 w:val="00000000000000000000"/>
    <w:charset w:val="B2"/>
    <w:family w:val="auto"/>
    <w:pitch w:val="variable"/>
    <w:sig w:usb0="00002001" w:usb1="00000000" w:usb2="00000000" w:usb3="00000000" w:csb0="0000004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233"/>
    <w:rsid w:val="0006703F"/>
    <w:rsid w:val="002A290A"/>
    <w:rsid w:val="003D0A7A"/>
    <w:rsid w:val="003E20A8"/>
    <w:rsid w:val="004110D3"/>
    <w:rsid w:val="004A37C2"/>
    <w:rsid w:val="00540C56"/>
    <w:rsid w:val="00596D96"/>
    <w:rsid w:val="005B5DE6"/>
    <w:rsid w:val="00635165"/>
    <w:rsid w:val="00694EEB"/>
    <w:rsid w:val="00712EE1"/>
    <w:rsid w:val="007618DE"/>
    <w:rsid w:val="008A59EC"/>
    <w:rsid w:val="008D3552"/>
    <w:rsid w:val="008E75E6"/>
    <w:rsid w:val="00901A3C"/>
    <w:rsid w:val="009667C0"/>
    <w:rsid w:val="00A0363E"/>
    <w:rsid w:val="00A24967"/>
    <w:rsid w:val="00A55233"/>
    <w:rsid w:val="00AA0476"/>
    <w:rsid w:val="00AF64C3"/>
    <w:rsid w:val="00B90775"/>
    <w:rsid w:val="00BB7786"/>
    <w:rsid w:val="00BD4B73"/>
    <w:rsid w:val="00C928F7"/>
    <w:rsid w:val="00CA6AC1"/>
    <w:rsid w:val="00CC2047"/>
    <w:rsid w:val="00DB4C84"/>
    <w:rsid w:val="00ED4EF7"/>
    <w:rsid w:val="00F3490A"/>
    <w:rsid w:val="00F41B25"/>
    <w:rsid w:val="00FD27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23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2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C5F18A9BFF9C4796E396F6F2F5BE60" ma:contentTypeVersion="0" ma:contentTypeDescription="Create a new document." ma:contentTypeScope="" ma:versionID="2c00033ac9680fd597c59c6e939966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2BB85-6281-4318-ABE8-571A2680D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2A749D-A81F-4BC7-8AEA-6C031841C8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4C4E44-03CC-4826-AD3C-53FE6340D7FF}">
  <ds:schemaRefs>
    <ds:schemaRef ds:uri="http://schemas.microsoft.com/sharepoint/v3/contenttype/forms"/>
  </ds:schemaRefs>
</ds:datastoreItem>
</file>

<file path=customXml/itemProps4.xml><?xml version="1.0" encoding="utf-8"?>
<ds:datastoreItem xmlns:ds="http://schemas.openxmlformats.org/officeDocument/2006/customXml" ds:itemID="{51C527A0-0B42-487D-B236-4A5F9DF33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2756</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18430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Heinemann, Edward</dc:creator>
  <cp:lastModifiedBy>Castro, Rene</cp:lastModifiedBy>
  <cp:revision>2</cp:revision>
  <cp:lastPrinted>2019-01-23T15:47:00Z</cp:lastPrinted>
  <dcterms:created xsi:type="dcterms:W3CDTF">2019-09-25T10:18:00Z</dcterms:created>
  <dcterms:modified xsi:type="dcterms:W3CDTF">2019-09-25T10:18:00Z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0x01010013C5F18A9BFF9C4796E396F6F2F5BE60</vt:lpwstr>
  </property>
</Properties>
</file>