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66A25" w14:textId="77777777" w:rsidR="002649F5" w:rsidRPr="00A36FF6" w:rsidRDefault="002649F5" w:rsidP="003E28C6">
      <w:pPr>
        <w:spacing w:after="0" w:line="240" w:lineRule="auto"/>
        <w:jc w:val="center"/>
        <w:rPr>
          <w:b/>
          <w:bCs/>
        </w:rPr>
      </w:pPr>
      <w:bookmarkStart w:id="0" w:name="_GoBack"/>
      <w:bookmarkEnd w:id="0"/>
      <w:r w:rsidRPr="00A36FF6">
        <w:rPr>
          <w:b/>
          <w:bCs/>
        </w:rPr>
        <w:t xml:space="preserve">Concept </w:t>
      </w:r>
      <w:r w:rsidR="00B8628E" w:rsidRPr="00A36FF6">
        <w:rPr>
          <w:b/>
          <w:bCs/>
        </w:rPr>
        <w:t>Note</w:t>
      </w:r>
      <w:r w:rsidR="003E28C6" w:rsidRPr="00A36FF6">
        <w:rPr>
          <w:b/>
          <w:bCs/>
        </w:rPr>
        <w:t xml:space="preserve"> for Grant Proposals</w:t>
      </w:r>
    </w:p>
    <w:p w14:paraId="33366A26" w14:textId="77777777" w:rsidR="00F679E7" w:rsidRPr="00A36FF6" w:rsidRDefault="00B86A91" w:rsidP="00240D9E">
      <w:pPr>
        <w:spacing w:after="0" w:line="240" w:lineRule="auto"/>
        <w:jc w:val="center"/>
        <w:rPr>
          <w:b/>
          <w:bCs/>
        </w:rPr>
      </w:pPr>
      <w:r w:rsidRPr="00A36FF6">
        <w:rPr>
          <w:b/>
          <w:bCs/>
        </w:rPr>
        <w:t xml:space="preserve">(Max </w:t>
      </w:r>
      <w:r w:rsidR="00240D9E" w:rsidRPr="00A36FF6">
        <w:rPr>
          <w:b/>
          <w:bCs/>
        </w:rPr>
        <w:t>2000 words</w:t>
      </w:r>
      <w:r w:rsidRPr="00A36FF6">
        <w:rPr>
          <w:b/>
          <w:bCs/>
        </w:rPr>
        <w:t>)</w:t>
      </w:r>
    </w:p>
    <w:p w14:paraId="33366A27" w14:textId="77777777" w:rsidR="00B86A91" w:rsidRPr="00A36FF6" w:rsidRDefault="00B86A91" w:rsidP="003E28C6">
      <w:pPr>
        <w:spacing w:after="0" w:line="240" w:lineRule="auto"/>
        <w:jc w:val="center"/>
      </w:pPr>
    </w:p>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6C7AAD" w:rsidRPr="00A36FF6" w14:paraId="33366AAF" w14:textId="77777777" w:rsidTr="00CE19B8">
        <w:tc>
          <w:tcPr>
            <w:tcW w:w="10065" w:type="dxa"/>
          </w:tcPr>
          <w:tbl>
            <w:tblPr>
              <w:tblStyle w:val="TableGrid"/>
              <w:tblW w:w="0" w:type="auto"/>
              <w:tblLook w:val="0600" w:firstRow="0" w:lastRow="0" w:firstColumn="0" w:lastColumn="0" w:noHBand="1" w:noVBand="1"/>
            </w:tblPr>
            <w:tblGrid>
              <w:gridCol w:w="5931"/>
              <w:gridCol w:w="3995"/>
            </w:tblGrid>
            <w:tr w:rsidR="00B86A91" w:rsidRPr="00A36FF6" w14:paraId="33366A2A" w14:textId="77777777" w:rsidTr="00905512">
              <w:trPr>
                <w:trHeight w:val="20"/>
              </w:trPr>
              <w:tc>
                <w:tcPr>
                  <w:tcW w:w="6107" w:type="dxa"/>
                </w:tcPr>
                <w:p w14:paraId="33366A28" w14:textId="77777777" w:rsidR="00AC7242" w:rsidRPr="00A36FF6" w:rsidRDefault="00460E82" w:rsidP="002946F8">
                  <w:pPr>
                    <w:rPr>
                      <w:b/>
                      <w:bCs/>
                    </w:rPr>
                  </w:pPr>
                  <w:r w:rsidRPr="00A36FF6">
                    <w:rPr>
                      <w:b/>
                      <w:bCs/>
                    </w:rPr>
                    <w:t xml:space="preserve">1. </w:t>
                  </w:r>
                  <w:r w:rsidR="004C4C11" w:rsidRPr="00A36FF6">
                    <w:rPr>
                      <w:b/>
                      <w:bCs/>
                    </w:rPr>
                    <w:t>Grant Sponsor</w:t>
                  </w:r>
                  <w:r w:rsidR="00240D9E" w:rsidRPr="00A36FF6">
                    <w:rPr>
                      <w:b/>
                      <w:bCs/>
                    </w:rPr>
                    <w:t>ing Division</w:t>
                  </w:r>
                  <w:r w:rsidR="00B86A91" w:rsidRPr="00A36FF6">
                    <w:rPr>
                      <w:b/>
                      <w:bCs/>
                    </w:rPr>
                    <w:t>:</w:t>
                  </w:r>
                  <w:r w:rsidR="00636E1D" w:rsidRPr="00A36FF6">
                    <w:rPr>
                      <w:b/>
                      <w:bCs/>
                    </w:rPr>
                    <w:t xml:space="preserve"> </w:t>
                  </w:r>
                  <w:r w:rsidR="00F546D6" w:rsidRPr="00A36FF6">
                    <w:rPr>
                      <w:b/>
                      <w:bCs/>
                    </w:rPr>
                    <w:t>PMI</w:t>
                  </w:r>
                </w:p>
              </w:tc>
              <w:tc>
                <w:tcPr>
                  <w:tcW w:w="3278" w:type="dxa"/>
                </w:tcPr>
                <w:p w14:paraId="33366A29" w14:textId="77777777" w:rsidR="00B86A91" w:rsidRPr="00A36FF6" w:rsidRDefault="00020753" w:rsidP="00360547">
                  <w:pPr>
                    <w:rPr>
                      <w:b/>
                      <w:bCs/>
                    </w:rPr>
                  </w:pPr>
                  <w:r w:rsidRPr="00A36FF6">
                    <w:rPr>
                      <w:b/>
                      <w:bCs/>
                    </w:rPr>
                    <w:t xml:space="preserve">2. </w:t>
                  </w:r>
                  <w:r w:rsidR="002946F8" w:rsidRPr="00A36FF6">
                    <w:rPr>
                      <w:b/>
                      <w:bCs/>
                    </w:rPr>
                    <w:t xml:space="preserve">Co-sponsoring </w:t>
                  </w:r>
                  <w:r w:rsidR="00B86A91" w:rsidRPr="00A36FF6">
                    <w:rPr>
                      <w:b/>
                      <w:bCs/>
                    </w:rPr>
                    <w:t>Division</w:t>
                  </w:r>
                  <w:r w:rsidR="007143ED" w:rsidRPr="00A36FF6">
                    <w:rPr>
                      <w:b/>
                      <w:bCs/>
                    </w:rPr>
                    <w:t>(s)</w:t>
                  </w:r>
                  <w:r w:rsidR="007143ED" w:rsidRPr="00A36FF6">
                    <w:rPr>
                      <w:rStyle w:val="FootnoteReference"/>
                      <w:b/>
                      <w:bCs/>
                    </w:rPr>
                    <w:footnoteReference w:id="1"/>
                  </w:r>
                  <w:r w:rsidR="00B86A91" w:rsidRPr="00A36FF6">
                    <w:rPr>
                      <w:b/>
                      <w:bCs/>
                    </w:rPr>
                    <w:t>:</w:t>
                  </w:r>
                  <w:r w:rsidR="00636E1D" w:rsidRPr="00A36FF6">
                    <w:rPr>
                      <w:b/>
                      <w:bCs/>
                    </w:rPr>
                    <w:t xml:space="preserve"> </w:t>
                  </w:r>
                  <w:r w:rsidR="00F546D6" w:rsidRPr="00A36FF6">
                    <w:rPr>
                      <w:b/>
                      <w:bCs/>
                    </w:rPr>
                    <w:t>LAC</w:t>
                  </w:r>
                  <w:r w:rsidR="00EB11C7" w:rsidRPr="00A36FF6">
                    <w:rPr>
                      <w:b/>
                      <w:bCs/>
                    </w:rPr>
                    <w:t xml:space="preserve"> and PRM</w:t>
                  </w:r>
                  <w:r w:rsidR="00531DE3">
                    <w:rPr>
                      <w:rStyle w:val="FootnoteReference"/>
                      <w:b/>
                      <w:bCs/>
                    </w:rPr>
                    <w:footnoteReference w:id="2"/>
                  </w:r>
                </w:p>
              </w:tc>
            </w:tr>
            <w:tr w:rsidR="00B86A91" w:rsidRPr="00A36FF6" w14:paraId="33366A2C" w14:textId="77777777" w:rsidTr="00905512">
              <w:trPr>
                <w:trHeight w:val="20"/>
              </w:trPr>
              <w:tc>
                <w:tcPr>
                  <w:tcW w:w="9385" w:type="dxa"/>
                  <w:gridSpan w:val="2"/>
                </w:tcPr>
                <w:p w14:paraId="33366A2B" w14:textId="77777777" w:rsidR="00AC7242" w:rsidRPr="00A36FF6" w:rsidRDefault="00460E82" w:rsidP="00F546D6">
                  <w:pPr>
                    <w:rPr>
                      <w:b/>
                      <w:bCs/>
                    </w:rPr>
                  </w:pPr>
                  <w:r w:rsidRPr="00A36FF6">
                    <w:rPr>
                      <w:b/>
                      <w:bCs/>
                    </w:rPr>
                    <w:t xml:space="preserve">3. </w:t>
                  </w:r>
                  <w:r w:rsidR="00B86A91" w:rsidRPr="00A36FF6">
                    <w:rPr>
                      <w:b/>
                      <w:bCs/>
                    </w:rPr>
                    <w:t xml:space="preserve">Title of the </w:t>
                  </w:r>
                  <w:r w:rsidR="002946F8" w:rsidRPr="00A36FF6">
                    <w:rPr>
                      <w:b/>
                      <w:bCs/>
                    </w:rPr>
                    <w:t>grant</w:t>
                  </w:r>
                  <w:r w:rsidR="00B86A91" w:rsidRPr="00A36FF6">
                    <w:rPr>
                      <w:b/>
                      <w:bCs/>
                    </w:rPr>
                    <w:t xml:space="preserve">: </w:t>
                  </w:r>
                  <w:r w:rsidR="00F546D6" w:rsidRPr="00A36FF6">
                    <w:rPr>
                      <w:color w:val="000000" w:themeColor="text1"/>
                    </w:rPr>
                    <w:t xml:space="preserve">Mainstream  Fintech and </w:t>
                  </w:r>
                  <w:proofErr w:type="spellStart"/>
                  <w:r w:rsidR="00F546D6" w:rsidRPr="00A36FF6">
                    <w:rPr>
                      <w:color w:val="000000" w:themeColor="text1"/>
                    </w:rPr>
                    <w:t>Agritech</w:t>
                  </w:r>
                  <w:proofErr w:type="spellEnd"/>
                  <w:r w:rsidR="00F546D6" w:rsidRPr="00A36FF6">
                    <w:rPr>
                      <w:color w:val="000000" w:themeColor="text1"/>
                    </w:rPr>
                    <w:t xml:space="preserve"> technologies into IFAD portfolio of country programs</w:t>
                  </w:r>
                </w:p>
              </w:tc>
            </w:tr>
            <w:tr w:rsidR="00B86A91" w:rsidRPr="00A36FF6" w14:paraId="33366A2F" w14:textId="77777777" w:rsidTr="00905512">
              <w:trPr>
                <w:trHeight w:val="20"/>
              </w:trPr>
              <w:tc>
                <w:tcPr>
                  <w:tcW w:w="6107" w:type="dxa"/>
                </w:tcPr>
                <w:p w14:paraId="33366A2D" w14:textId="77777777" w:rsidR="00AC7242" w:rsidRPr="00A36FF6" w:rsidRDefault="00460E82" w:rsidP="002946F8">
                  <w:r w:rsidRPr="00A36FF6">
                    <w:rPr>
                      <w:b/>
                      <w:bCs/>
                    </w:rPr>
                    <w:t xml:space="preserve">4. </w:t>
                  </w:r>
                  <w:r w:rsidR="00020753" w:rsidRPr="00A36FF6">
                    <w:rPr>
                      <w:b/>
                      <w:bCs/>
                    </w:rPr>
                    <w:t>Value</w:t>
                  </w:r>
                  <w:r w:rsidR="000D10E4" w:rsidRPr="00A36FF6">
                    <w:rPr>
                      <w:b/>
                      <w:bCs/>
                    </w:rPr>
                    <w:t xml:space="preserve"> of IFAD grant</w:t>
                  </w:r>
                  <w:r w:rsidR="00B86A91" w:rsidRPr="00A36FF6">
                    <w:rPr>
                      <w:b/>
                      <w:bCs/>
                    </w:rPr>
                    <w:t xml:space="preserve">: </w:t>
                  </w:r>
                  <w:r w:rsidR="00636E1D" w:rsidRPr="00A36FF6">
                    <w:rPr>
                      <w:i/>
                      <w:iCs/>
                    </w:rPr>
                    <w:t xml:space="preserve">(in </w:t>
                  </w:r>
                  <w:r w:rsidR="00240D9E" w:rsidRPr="00A36FF6">
                    <w:rPr>
                      <w:i/>
                      <w:iCs/>
                    </w:rPr>
                    <w:t>US$</w:t>
                  </w:r>
                  <w:r w:rsidR="00636E1D" w:rsidRPr="00A36FF6">
                    <w:rPr>
                      <w:i/>
                      <w:iCs/>
                    </w:rPr>
                    <w:t>)</w:t>
                  </w:r>
                  <w:r w:rsidR="00F546D6" w:rsidRPr="00A36FF6">
                    <w:rPr>
                      <w:i/>
                      <w:iCs/>
                    </w:rPr>
                    <w:t xml:space="preserve"> 3.5 Million</w:t>
                  </w:r>
                </w:p>
              </w:tc>
              <w:tc>
                <w:tcPr>
                  <w:tcW w:w="3278" w:type="dxa"/>
                </w:tcPr>
                <w:p w14:paraId="33366A2E" w14:textId="77777777" w:rsidR="00B86A91" w:rsidRPr="00A36FF6" w:rsidRDefault="00020753" w:rsidP="000D5D0F">
                  <w:pPr>
                    <w:rPr>
                      <w:b/>
                      <w:bCs/>
                    </w:rPr>
                  </w:pPr>
                  <w:r w:rsidRPr="00A36FF6">
                    <w:rPr>
                      <w:b/>
                      <w:bCs/>
                    </w:rPr>
                    <w:t xml:space="preserve">5. </w:t>
                  </w:r>
                  <w:r w:rsidR="00655D89" w:rsidRPr="00A36FF6">
                    <w:rPr>
                      <w:b/>
                      <w:bCs/>
                    </w:rPr>
                    <w:t>C</w:t>
                  </w:r>
                  <w:r w:rsidR="00B86A91" w:rsidRPr="00A36FF6">
                    <w:rPr>
                      <w:b/>
                      <w:bCs/>
                    </w:rPr>
                    <w:t>o-financing:</w:t>
                  </w:r>
                  <w:r w:rsidR="00636E1D" w:rsidRPr="00A36FF6">
                    <w:rPr>
                      <w:b/>
                      <w:bCs/>
                    </w:rPr>
                    <w:t xml:space="preserve"> </w:t>
                  </w:r>
                  <w:r w:rsidR="00CA1E56" w:rsidRPr="00A36FF6">
                    <w:rPr>
                      <w:i/>
                      <w:iCs/>
                    </w:rPr>
                    <w:t>(</w:t>
                  </w:r>
                  <w:r w:rsidR="00636E1D" w:rsidRPr="00A36FF6">
                    <w:rPr>
                      <w:i/>
                      <w:iCs/>
                    </w:rPr>
                    <w:t>in US</w:t>
                  </w:r>
                  <w:r w:rsidR="00CA1E56" w:rsidRPr="00A36FF6">
                    <w:rPr>
                      <w:i/>
                      <w:iCs/>
                    </w:rPr>
                    <w:t>$</w:t>
                  </w:r>
                  <w:r w:rsidR="00636E1D" w:rsidRPr="00A36FF6">
                    <w:rPr>
                      <w:i/>
                      <w:iCs/>
                    </w:rPr>
                    <w:t>)</w:t>
                  </w:r>
                  <w:r w:rsidR="00F546D6" w:rsidRPr="00A36FF6">
                    <w:rPr>
                      <w:i/>
                      <w:iCs/>
                    </w:rPr>
                    <w:t xml:space="preserve"> We will request at least </w:t>
                  </w:r>
                  <w:r w:rsidR="000D5D0F" w:rsidRPr="00A36FF6">
                    <w:rPr>
                      <w:i/>
                      <w:iCs/>
                    </w:rPr>
                    <w:t>2</w:t>
                  </w:r>
                  <w:r w:rsidR="00F546D6" w:rsidRPr="00A36FF6">
                    <w:rPr>
                      <w:i/>
                      <w:iCs/>
                    </w:rPr>
                    <w:t xml:space="preserve">0% of co-financing of the </w:t>
                  </w:r>
                  <w:r w:rsidR="000D5D0F" w:rsidRPr="00A36FF6">
                    <w:rPr>
                      <w:i/>
                      <w:iCs/>
                    </w:rPr>
                    <w:t>beneficiary companies</w:t>
                  </w:r>
                  <w:r w:rsidR="00EB11C7" w:rsidRPr="00A36FF6">
                    <w:rPr>
                      <w:i/>
                      <w:iCs/>
                    </w:rPr>
                    <w:t xml:space="preserve"> </w:t>
                  </w:r>
                </w:p>
              </w:tc>
            </w:tr>
            <w:tr w:rsidR="00B86A91" w:rsidRPr="00A36FF6" w14:paraId="33366A32" w14:textId="77777777" w:rsidTr="00905512">
              <w:trPr>
                <w:trHeight w:val="20"/>
              </w:trPr>
              <w:tc>
                <w:tcPr>
                  <w:tcW w:w="6107" w:type="dxa"/>
                </w:tcPr>
                <w:p w14:paraId="33366A30" w14:textId="77777777" w:rsidR="00AC7242" w:rsidRPr="00A36FF6" w:rsidRDefault="00020753" w:rsidP="00460E82">
                  <w:r w:rsidRPr="00A36FF6">
                    <w:rPr>
                      <w:b/>
                      <w:bCs/>
                    </w:rPr>
                    <w:t xml:space="preserve">6. </w:t>
                  </w:r>
                  <w:r w:rsidR="00B86A91" w:rsidRPr="00A36FF6">
                    <w:rPr>
                      <w:b/>
                      <w:bCs/>
                    </w:rPr>
                    <w:t>Implementation period:</w:t>
                  </w:r>
                  <w:r w:rsidR="00B86A91" w:rsidRPr="00A36FF6">
                    <w:t xml:space="preserve"> </w:t>
                  </w:r>
                  <w:r w:rsidR="00655D89" w:rsidRPr="00A36FF6">
                    <w:t>(</w:t>
                  </w:r>
                  <w:r w:rsidR="00CA1E56" w:rsidRPr="00A36FF6">
                    <w:rPr>
                      <w:i/>
                      <w:iCs/>
                    </w:rPr>
                    <w:t>M</w:t>
                  </w:r>
                  <w:r w:rsidR="00B86A91" w:rsidRPr="00A36FF6">
                    <w:rPr>
                      <w:i/>
                      <w:iCs/>
                    </w:rPr>
                    <w:t>onths</w:t>
                  </w:r>
                  <w:r w:rsidR="00655D89" w:rsidRPr="00A36FF6">
                    <w:rPr>
                      <w:i/>
                      <w:iCs/>
                    </w:rPr>
                    <w:t>)</w:t>
                  </w:r>
                  <w:r w:rsidR="00F546D6" w:rsidRPr="00A36FF6">
                    <w:rPr>
                      <w:i/>
                      <w:iCs/>
                    </w:rPr>
                    <w:t>36 months</w:t>
                  </w:r>
                </w:p>
              </w:tc>
              <w:tc>
                <w:tcPr>
                  <w:tcW w:w="3278" w:type="dxa"/>
                </w:tcPr>
                <w:p w14:paraId="33366A31" w14:textId="77777777" w:rsidR="00B86A91" w:rsidRPr="00A36FF6" w:rsidRDefault="00020753" w:rsidP="00D30D25">
                  <w:pPr>
                    <w:ind w:right="34"/>
                  </w:pPr>
                  <w:r w:rsidRPr="00A36FF6">
                    <w:rPr>
                      <w:b/>
                      <w:bCs/>
                    </w:rPr>
                    <w:t xml:space="preserve">7. </w:t>
                  </w:r>
                  <w:r w:rsidR="003561FB" w:rsidRPr="00A36FF6">
                    <w:rPr>
                      <w:b/>
                      <w:bCs/>
                    </w:rPr>
                    <w:t>GRIP</w:t>
                  </w:r>
                  <w:r w:rsidR="00EB2032" w:rsidRPr="00A36FF6">
                    <w:rPr>
                      <w:b/>
                      <w:bCs/>
                    </w:rPr>
                    <w:t>S</w:t>
                  </w:r>
                  <w:r w:rsidR="003561FB" w:rsidRPr="00A36FF6">
                    <w:rPr>
                      <w:b/>
                      <w:bCs/>
                    </w:rPr>
                    <w:t xml:space="preserve"> ID</w:t>
                  </w:r>
                  <w:r w:rsidR="003561FB" w:rsidRPr="00A36FF6">
                    <w:t>:</w:t>
                  </w:r>
                  <w:r w:rsidR="00636E1D" w:rsidRPr="00A36FF6">
                    <w:t xml:space="preserve"> </w:t>
                  </w:r>
                  <w:r w:rsidR="00D30D25" w:rsidRPr="00D30D25">
                    <w:t>2000002829</w:t>
                  </w:r>
                </w:p>
              </w:tc>
            </w:tr>
            <w:tr w:rsidR="003561FB" w:rsidRPr="00A36FF6" w14:paraId="33366A34" w14:textId="77777777" w:rsidTr="00905512">
              <w:trPr>
                <w:trHeight w:val="20"/>
              </w:trPr>
              <w:tc>
                <w:tcPr>
                  <w:tcW w:w="9385" w:type="dxa"/>
                  <w:gridSpan w:val="2"/>
                </w:tcPr>
                <w:p w14:paraId="33366A33" w14:textId="77777777" w:rsidR="003561FB" w:rsidRPr="00A36FF6" w:rsidRDefault="00020753" w:rsidP="0035740D">
                  <w:pPr>
                    <w:rPr>
                      <w:b/>
                      <w:bCs/>
                    </w:rPr>
                  </w:pPr>
                  <w:r w:rsidRPr="00A36FF6">
                    <w:rPr>
                      <w:b/>
                      <w:bCs/>
                    </w:rPr>
                    <w:t xml:space="preserve">8. Selected </w:t>
                  </w:r>
                  <w:r w:rsidR="004C4C11" w:rsidRPr="00A36FF6">
                    <w:rPr>
                      <w:b/>
                      <w:bCs/>
                    </w:rPr>
                    <w:t>Strategic Priority</w:t>
                  </w:r>
                  <w:r w:rsidR="003561FB" w:rsidRPr="00A36FF6">
                    <w:rPr>
                      <w:rStyle w:val="FootnoteReference"/>
                      <w:b/>
                      <w:bCs/>
                    </w:rPr>
                    <w:footnoteReference w:id="3"/>
                  </w:r>
                  <w:r w:rsidR="003561FB" w:rsidRPr="00A36FF6">
                    <w:rPr>
                      <w:b/>
                      <w:bCs/>
                    </w:rPr>
                    <w:t>:</w:t>
                  </w:r>
                  <w:r w:rsidR="00991304" w:rsidRPr="00A36FF6">
                    <w:rPr>
                      <w:b/>
                      <w:bCs/>
                    </w:rPr>
                    <w:t xml:space="preserve"> </w:t>
                  </w:r>
                  <w:sdt>
                    <w:sdtPr>
                      <w:rPr>
                        <w:b/>
                        <w:bCs/>
                      </w:rPr>
                      <w:alias w:val="Strategic Priority"/>
                      <w:tag w:val="Strategic Priority"/>
                      <w:id w:val="-1731923450"/>
                      <w:placeholder>
                        <w:docPart w:val="DefaultPlaceholder_1082065159"/>
                      </w:placeholder>
                      <w:dropDownList>
                        <w:listItem w:value="Choose an item."/>
                        <w:listItem w:displayText="1. Production for food security, nutrition and income generation" w:value="1. Production for food security, nutrition and income generation"/>
                        <w:listItem w:displayText="2. Climate change, resilience and environmental sustainabililty" w:value="2. Climate change, resilience and environmental sustainabililty"/>
                        <w:listItem w:displayText="3. Gender equality and women's empowerment" w:value="3. Gender equality and women's empowerment"/>
                        <w:listItem w:displayText="4. Opportunities for youth" w:value="4. Opportunities for youth"/>
                        <w:listItem w:displayText="5. Business opportunities and partnership with Private Sector" w:value="5. Business opportunities and partnership with Private Sector"/>
                        <w:listItem w:displayText="6. Strategic Priority Endorsed by EMC" w:value="6. Strategic Priority Endorsed by EMC"/>
                        <w:listItem w:displayText="Contributions" w:value="Contributions"/>
                        <w:listItem w:displayText="n/a (Country-specific)" w:value="n/a (Country-specific)"/>
                      </w:dropDownList>
                    </w:sdtPr>
                    <w:sdtEndPr/>
                    <w:sdtContent>
                      <w:r w:rsidR="00F546D6" w:rsidRPr="00A36FF6">
                        <w:rPr>
                          <w:b/>
                          <w:bCs/>
                        </w:rPr>
                        <w:t>5. Business opportunities and partnership with Private Sector</w:t>
                      </w:r>
                    </w:sdtContent>
                  </w:sdt>
                </w:p>
              </w:tc>
            </w:tr>
            <w:tr w:rsidR="00E318DB" w:rsidRPr="00A36FF6" w14:paraId="33366A37" w14:textId="77777777" w:rsidTr="00905512">
              <w:trPr>
                <w:trHeight w:val="20"/>
              </w:trPr>
              <w:tc>
                <w:tcPr>
                  <w:tcW w:w="6107" w:type="dxa"/>
                </w:tcPr>
                <w:p w14:paraId="33366A35" w14:textId="77777777" w:rsidR="00E318DB" w:rsidRPr="00A36FF6" w:rsidRDefault="00020753" w:rsidP="004C4C11">
                  <w:pPr>
                    <w:tabs>
                      <w:tab w:val="left" w:pos="3225"/>
                    </w:tabs>
                    <w:ind w:right="34"/>
                  </w:pPr>
                  <w:r w:rsidRPr="00A36FF6">
                    <w:rPr>
                      <w:b/>
                      <w:bCs/>
                    </w:rPr>
                    <w:t xml:space="preserve">9. </w:t>
                  </w:r>
                  <w:r w:rsidR="00E318DB" w:rsidRPr="00A36FF6">
                    <w:rPr>
                      <w:b/>
                      <w:bCs/>
                    </w:rPr>
                    <w:t>Window:</w:t>
                  </w:r>
                  <w:r w:rsidR="00A27A99" w:rsidRPr="00A36FF6">
                    <w:t xml:space="preserve"> </w:t>
                  </w:r>
                  <w:r w:rsidR="002D57A0" w:rsidRPr="00A36FF6">
                    <w:t xml:space="preserve">Indicate </w:t>
                  </w:r>
                  <w:r w:rsidR="004C4C11" w:rsidRPr="00A36FF6">
                    <w:t>Global/Regional</w:t>
                  </w:r>
                  <w:r w:rsidR="002D57A0" w:rsidRPr="00A36FF6">
                    <w:t xml:space="preserve"> </w:t>
                  </w:r>
                  <w:sdt>
                    <w:sdtPr>
                      <w:id w:val="-134037019"/>
                      <w14:checkbox>
                        <w14:checked w14:val="1"/>
                        <w14:checkedState w14:val="2612" w14:font="MS Gothic"/>
                        <w14:uncheckedState w14:val="2610" w14:font="MS Gothic"/>
                      </w14:checkbox>
                    </w:sdtPr>
                    <w:sdtEndPr/>
                    <w:sdtContent>
                      <w:r w:rsidR="00F546D6" w:rsidRPr="00A36FF6">
                        <w:rPr>
                          <w:rFonts w:ascii="MS Gothic" w:eastAsia="MS Gothic" w:hAnsi="MS Gothic" w:hint="eastAsia"/>
                        </w:rPr>
                        <w:t>☒</w:t>
                      </w:r>
                    </w:sdtContent>
                  </w:sdt>
                  <w:r w:rsidR="002D57A0" w:rsidRPr="00A36FF6">
                    <w:t xml:space="preserve">Country </w:t>
                  </w:r>
                  <w:sdt>
                    <w:sdtPr>
                      <w:id w:val="490523960"/>
                      <w14:checkbox>
                        <w14:checked w14:val="0"/>
                        <w14:checkedState w14:val="2612" w14:font="MS Gothic"/>
                        <w14:uncheckedState w14:val="2610" w14:font="MS Gothic"/>
                      </w14:checkbox>
                    </w:sdtPr>
                    <w:sdtEndPr/>
                    <w:sdtContent>
                      <w:r w:rsidR="002D57A0" w:rsidRPr="00A36FF6">
                        <w:rPr>
                          <w:rFonts w:ascii="MS Gothic" w:eastAsia="MS Gothic" w:hAnsi="MS Gothic" w:hint="eastAsia"/>
                        </w:rPr>
                        <w:t>☐</w:t>
                      </w:r>
                    </w:sdtContent>
                  </w:sdt>
                </w:p>
              </w:tc>
              <w:tc>
                <w:tcPr>
                  <w:tcW w:w="3278" w:type="dxa"/>
                </w:tcPr>
                <w:p w14:paraId="33366A36" w14:textId="77777777" w:rsidR="00AC7242" w:rsidRPr="00A36FF6" w:rsidRDefault="00020753" w:rsidP="00961424">
                  <w:pPr>
                    <w:rPr>
                      <w:b/>
                      <w:bCs/>
                    </w:rPr>
                  </w:pPr>
                  <w:r w:rsidRPr="00A36FF6">
                    <w:rPr>
                      <w:b/>
                      <w:bCs/>
                    </w:rPr>
                    <w:t xml:space="preserve">10. </w:t>
                  </w:r>
                  <w:r w:rsidR="00E318DB" w:rsidRPr="00A36FF6">
                    <w:rPr>
                      <w:b/>
                      <w:bCs/>
                    </w:rPr>
                    <w:t>Country/Countries:</w:t>
                  </w:r>
                  <w:r w:rsidR="0028360B" w:rsidRPr="00A36FF6">
                    <w:rPr>
                      <w:b/>
                      <w:bCs/>
                    </w:rPr>
                    <w:t xml:space="preserve"> </w:t>
                  </w:r>
                  <w:r w:rsidR="00F546D6" w:rsidRPr="00A36FF6">
                    <w:rPr>
                      <w:b/>
                      <w:bCs/>
                    </w:rPr>
                    <w:t xml:space="preserve"> </w:t>
                  </w:r>
                  <w:r w:rsidR="00F546D6" w:rsidRPr="00A36FF6">
                    <w:t xml:space="preserve">All countries in LAC where IFAD has </w:t>
                  </w:r>
                  <w:r w:rsidR="00961424">
                    <w:t xml:space="preserve">an </w:t>
                  </w:r>
                  <w:r w:rsidR="00F546D6" w:rsidRPr="00A36FF6">
                    <w:t>active</w:t>
                  </w:r>
                  <w:r w:rsidR="00961424">
                    <w:t xml:space="preserve"> portfolio of </w:t>
                  </w:r>
                  <w:r w:rsidR="00F546D6" w:rsidRPr="00A36FF6">
                    <w:t xml:space="preserve"> loans</w:t>
                  </w:r>
                  <w:r w:rsidR="00EB11C7" w:rsidRPr="00A36FF6">
                    <w:t xml:space="preserve"> </w:t>
                  </w:r>
                  <w:r w:rsidR="000D4AFA">
                    <w:t xml:space="preserve">can participate as long as </w:t>
                  </w:r>
                  <w:r w:rsidR="00EB11C7" w:rsidRPr="00A36FF6">
                    <w:t>there are investment opportunities</w:t>
                  </w:r>
                  <w:r w:rsidR="00DC4F04" w:rsidRPr="00A36FF6">
                    <w:t xml:space="preserve"> (Fintech or Agritech companies </w:t>
                  </w:r>
                  <w:r w:rsidR="00A36FF6">
                    <w:t xml:space="preserve">already </w:t>
                  </w:r>
                  <w:r w:rsidR="00DC4F04" w:rsidRPr="00A36FF6">
                    <w:t>operating)</w:t>
                  </w:r>
                </w:p>
              </w:tc>
            </w:tr>
            <w:tr w:rsidR="00240D9E" w:rsidRPr="00A36FF6" w14:paraId="33366A3C" w14:textId="77777777" w:rsidTr="00905512">
              <w:trPr>
                <w:trHeight w:val="20"/>
              </w:trPr>
              <w:tc>
                <w:tcPr>
                  <w:tcW w:w="9385" w:type="dxa"/>
                  <w:gridSpan w:val="2"/>
                </w:tcPr>
                <w:p w14:paraId="33366A38" w14:textId="77777777" w:rsidR="00240D9E" w:rsidRPr="00A36FF6" w:rsidRDefault="00240D9E" w:rsidP="003D5BA4">
                  <w:pPr>
                    <w:pStyle w:val="ListParagraph"/>
                    <w:ind w:left="0"/>
                    <w:contextualSpacing w:val="0"/>
                    <w:rPr>
                      <w:i/>
                      <w:iCs/>
                    </w:rPr>
                  </w:pPr>
                  <w:r w:rsidRPr="00A36FF6">
                    <w:rPr>
                      <w:b/>
                      <w:bCs/>
                    </w:rPr>
                    <w:t>11. Recipient:</w:t>
                  </w:r>
                  <w:r w:rsidRPr="00A36FF6">
                    <w:rPr>
                      <w:i/>
                      <w:iCs/>
                    </w:rPr>
                    <w:t xml:space="preserve"> </w:t>
                  </w:r>
                  <w:r w:rsidR="00CA1E56" w:rsidRPr="00A36FF6">
                    <w:rPr>
                      <w:i/>
                      <w:iCs/>
                    </w:rPr>
                    <w:t>S</w:t>
                  </w:r>
                  <w:r w:rsidR="00A14BDA" w:rsidRPr="00A36FF6">
                    <w:rPr>
                      <w:i/>
                      <w:iCs/>
                    </w:rPr>
                    <w:t xml:space="preserve">elect </w:t>
                  </w:r>
                  <w:r w:rsidR="00A14BDA" w:rsidRPr="00A36FF6">
                    <w:rPr>
                      <w:i/>
                      <w:iCs/>
                      <w:u w:val="single"/>
                    </w:rPr>
                    <w:t>one</w:t>
                  </w:r>
                  <w:r w:rsidR="00A14BDA" w:rsidRPr="00A36FF6">
                    <w:rPr>
                      <w:i/>
                      <w:iCs/>
                    </w:rPr>
                    <w:t xml:space="preserve"> of the following options</w:t>
                  </w:r>
                </w:p>
                <w:p w14:paraId="33366A39" w14:textId="77777777" w:rsidR="00240D9E" w:rsidRPr="00A36FF6" w:rsidRDefault="00405A64" w:rsidP="00D23320">
                  <w:pPr>
                    <w:pStyle w:val="ListParagraph"/>
                    <w:numPr>
                      <w:ilvl w:val="0"/>
                      <w:numId w:val="9"/>
                    </w:numPr>
                    <w:contextualSpacing w:val="0"/>
                  </w:pPr>
                  <w:r w:rsidRPr="00A36FF6">
                    <w:t>C</w:t>
                  </w:r>
                  <w:r w:rsidR="00240D9E" w:rsidRPr="00A36FF6">
                    <w:t xml:space="preserve">ompetitive selection at CN stage </w:t>
                  </w:r>
                  <w:sdt>
                    <w:sdtPr>
                      <w:id w:val="1504547759"/>
                      <w14:checkbox>
                        <w14:checked w14:val="0"/>
                        <w14:checkedState w14:val="2612" w14:font="MS Gothic"/>
                        <w14:uncheckedState w14:val="2610" w14:font="MS Gothic"/>
                      </w14:checkbox>
                    </w:sdtPr>
                    <w:sdtEndPr/>
                    <w:sdtContent>
                      <w:r w:rsidR="00FC0D7C" w:rsidRPr="00A36FF6">
                        <w:rPr>
                          <w:rFonts w:ascii="MS Gothic" w:eastAsia="MS Gothic" w:hAnsi="MS Gothic" w:hint="eastAsia"/>
                        </w:rPr>
                        <w:t>☐</w:t>
                      </w:r>
                    </w:sdtContent>
                  </w:sdt>
                  <w:r w:rsidR="00240D9E" w:rsidRPr="00A36FF6">
                    <w:t xml:space="preserve">   and name of recipient </w:t>
                  </w:r>
                </w:p>
                <w:p w14:paraId="33366A3A" w14:textId="77777777" w:rsidR="00240D9E" w:rsidRPr="00A36FF6" w:rsidRDefault="00405A64" w:rsidP="002946F8">
                  <w:pPr>
                    <w:pStyle w:val="ListParagraph"/>
                    <w:numPr>
                      <w:ilvl w:val="0"/>
                      <w:numId w:val="9"/>
                    </w:numPr>
                    <w:contextualSpacing w:val="0"/>
                    <w:rPr>
                      <w:b/>
                      <w:bCs/>
                    </w:rPr>
                  </w:pPr>
                  <w:r w:rsidRPr="00A36FF6">
                    <w:t>T</w:t>
                  </w:r>
                  <w:r w:rsidR="00240D9E" w:rsidRPr="00A36FF6">
                    <w:t xml:space="preserve">o be selected competitively at </w:t>
                  </w:r>
                  <w:r w:rsidR="002946F8" w:rsidRPr="00A36FF6">
                    <w:t>d</w:t>
                  </w:r>
                  <w:r w:rsidR="00240D9E" w:rsidRPr="00A36FF6">
                    <w:t xml:space="preserve">esign stage  </w:t>
                  </w:r>
                  <w:sdt>
                    <w:sdtPr>
                      <w:id w:val="-181203726"/>
                      <w14:checkbox>
                        <w14:checked w14:val="1"/>
                        <w14:checkedState w14:val="2612" w14:font="MS Gothic"/>
                        <w14:uncheckedState w14:val="2610" w14:font="MS Gothic"/>
                      </w14:checkbox>
                    </w:sdtPr>
                    <w:sdtEndPr/>
                    <w:sdtContent>
                      <w:r w:rsidR="00DC4F04" w:rsidRPr="00A36FF6">
                        <w:rPr>
                          <w:rFonts w:ascii="MS Gothic" w:eastAsia="MS Gothic" w:hAnsi="MS Gothic" w:hint="eastAsia"/>
                        </w:rPr>
                        <w:t>☒</w:t>
                      </w:r>
                    </w:sdtContent>
                  </w:sdt>
                </w:p>
                <w:p w14:paraId="33366A3B" w14:textId="77777777" w:rsidR="00FC0D7C" w:rsidRPr="00A36FF6" w:rsidRDefault="00FC0D7C" w:rsidP="00FC0D7C">
                  <w:pPr>
                    <w:pStyle w:val="ListParagraph"/>
                    <w:numPr>
                      <w:ilvl w:val="0"/>
                      <w:numId w:val="9"/>
                    </w:numPr>
                    <w:contextualSpacing w:val="0"/>
                    <w:rPr>
                      <w:i/>
                      <w:iCs/>
                    </w:rPr>
                  </w:pPr>
                  <w:r w:rsidRPr="00A36FF6">
                    <w:t xml:space="preserve">Direct selection </w:t>
                  </w:r>
                  <w:sdt>
                    <w:sdtPr>
                      <w:id w:val="-208805017"/>
                      <w14:checkbox>
                        <w14:checked w14:val="0"/>
                        <w14:checkedState w14:val="2612" w14:font="MS Gothic"/>
                        <w14:uncheckedState w14:val="2610" w14:font="MS Gothic"/>
                      </w14:checkbox>
                    </w:sdtPr>
                    <w:sdtEndPr/>
                    <w:sdtContent>
                      <w:r w:rsidRPr="00A36FF6">
                        <w:rPr>
                          <w:rFonts w:ascii="MS Gothic" w:eastAsia="MS Gothic" w:hAnsi="MS Gothic" w:hint="eastAsia"/>
                        </w:rPr>
                        <w:t>☐</w:t>
                      </w:r>
                    </w:sdtContent>
                  </w:sdt>
                  <w:r w:rsidRPr="00A36FF6">
                    <w:t xml:space="preserve">   and name of recipient</w:t>
                  </w:r>
                </w:p>
              </w:tc>
            </w:tr>
            <w:tr w:rsidR="00240D9E" w:rsidRPr="00A36FF6" w14:paraId="33366A3E" w14:textId="77777777" w:rsidTr="00905512">
              <w:trPr>
                <w:trHeight w:val="20"/>
              </w:trPr>
              <w:tc>
                <w:tcPr>
                  <w:tcW w:w="9385" w:type="dxa"/>
                  <w:gridSpan w:val="2"/>
                </w:tcPr>
                <w:p w14:paraId="33366A3D" w14:textId="77777777" w:rsidR="00F546D6" w:rsidRPr="00A36FF6" w:rsidRDefault="00240D9E" w:rsidP="00423FF7">
                  <w:pPr>
                    <w:pStyle w:val="ListParagraph"/>
                    <w:ind w:left="0"/>
                    <w:contextualSpacing w:val="0"/>
                    <w:jc w:val="both"/>
                  </w:pPr>
                  <w:r w:rsidRPr="00A36FF6">
                    <w:rPr>
                      <w:b/>
                      <w:bCs/>
                    </w:rPr>
                    <w:t xml:space="preserve">12. Rationale for recipient selection and recipient capacity: </w:t>
                  </w:r>
                  <w:r w:rsidR="00F546D6" w:rsidRPr="00A36FF6">
                    <w:t xml:space="preserve">The selection for the recipient </w:t>
                  </w:r>
                  <w:proofErr w:type="gramStart"/>
                  <w:r w:rsidR="00F546D6" w:rsidRPr="00A36FF6">
                    <w:t>will be done</w:t>
                  </w:r>
                  <w:proofErr w:type="gramEnd"/>
                  <w:r w:rsidR="00F546D6" w:rsidRPr="00A36FF6">
                    <w:t xml:space="preserve"> </w:t>
                  </w:r>
                  <w:r w:rsidR="00EB11C7" w:rsidRPr="00A36FF6">
                    <w:t xml:space="preserve">through </w:t>
                  </w:r>
                  <w:r w:rsidR="00F546D6" w:rsidRPr="00A36FF6">
                    <w:t xml:space="preserve">a competitive process. </w:t>
                  </w:r>
                  <w:r w:rsidR="00D90ABE" w:rsidRPr="00A36FF6">
                    <w:t>After finalizing the TOR for the recipient, w</w:t>
                  </w:r>
                  <w:r w:rsidR="00F546D6" w:rsidRPr="00A36FF6">
                    <w:t xml:space="preserve">e will invite </w:t>
                  </w:r>
                  <w:r w:rsidR="00D90ABE" w:rsidRPr="00A36FF6">
                    <w:t>o</w:t>
                  </w:r>
                  <w:r w:rsidR="00F546D6" w:rsidRPr="00A36FF6">
                    <w:t>rganizations</w:t>
                  </w:r>
                  <w:r w:rsidR="00D90ABE" w:rsidRPr="00A36FF6">
                    <w:t xml:space="preserve"> </w:t>
                  </w:r>
                  <w:r w:rsidR="00F546D6" w:rsidRPr="00A36FF6">
                    <w:t xml:space="preserve">with experience in </w:t>
                  </w:r>
                  <w:r w:rsidR="00BE6E87" w:rsidRPr="00A36FF6">
                    <w:t>deploying Fintech or A</w:t>
                  </w:r>
                  <w:r w:rsidR="008D0BCB" w:rsidRPr="00A36FF6">
                    <w:t>gr</w:t>
                  </w:r>
                  <w:r w:rsidR="00BE6E87" w:rsidRPr="00A36FF6">
                    <w:t>i</w:t>
                  </w:r>
                  <w:r w:rsidR="008D0BCB" w:rsidRPr="00A36FF6">
                    <w:t>tec</w:t>
                  </w:r>
                  <w:r w:rsidR="00C73BA8">
                    <w:t>h</w:t>
                  </w:r>
                  <w:r w:rsidR="008D0BCB" w:rsidRPr="00A36FF6">
                    <w:t xml:space="preserve"> solution</w:t>
                  </w:r>
                  <w:r w:rsidR="00360547">
                    <w:t>s</w:t>
                  </w:r>
                  <w:r w:rsidR="008D0BCB" w:rsidRPr="00A36FF6">
                    <w:t xml:space="preserve"> within projects </w:t>
                  </w:r>
                  <w:r w:rsidR="00D90ABE" w:rsidRPr="00A36FF6">
                    <w:t xml:space="preserve">benefiting </w:t>
                  </w:r>
                  <w:r w:rsidR="00F546D6" w:rsidRPr="00A36FF6">
                    <w:t>small farmers</w:t>
                  </w:r>
                  <w:r w:rsidR="00EB11C7" w:rsidRPr="00A36FF6">
                    <w:t xml:space="preserve"> to present a </w:t>
                  </w:r>
                  <w:r w:rsidR="00D90ABE" w:rsidRPr="00A36FF6">
                    <w:t xml:space="preserve">full </w:t>
                  </w:r>
                  <w:r w:rsidR="00EB11C7" w:rsidRPr="00A36FF6">
                    <w:t>proposal to implement this grant</w:t>
                  </w:r>
                  <w:r w:rsidR="008D0BCB" w:rsidRPr="00A36FF6">
                    <w:t>. The selection criteria</w:t>
                  </w:r>
                  <w:r w:rsidR="000D4AFA">
                    <w:rPr>
                      <w:rStyle w:val="FootnoteReference"/>
                    </w:rPr>
                    <w:footnoteReference w:id="4"/>
                  </w:r>
                  <w:r w:rsidR="008D0BCB" w:rsidRPr="00A36FF6">
                    <w:t xml:space="preserve"> </w:t>
                  </w:r>
                  <w:r w:rsidR="00D90ABE" w:rsidRPr="00A36FF6">
                    <w:t xml:space="preserve">for the competitive process </w:t>
                  </w:r>
                  <w:proofErr w:type="gramStart"/>
                  <w:r w:rsidR="00D90ABE" w:rsidRPr="00A36FF6">
                    <w:t>will be developed</w:t>
                  </w:r>
                  <w:proofErr w:type="gramEnd"/>
                  <w:r w:rsidR="00D90ABE" w:rsidRPr="00A36FF6">
                    <w:t xml:space="preserve"> in advance to the competitive process</w:t>
                  </w:r>
                  <w:r w:rsidR="00C176FC" w:rsidRPr="00A36FF6">
                    <w:t xml:space="preserve"> and </w:t>
                  </w:r>
                  <w:r w:rsidR="008D0BCB" w:rsidRPr="00A36FF6">
                    <w:t>will</w:t>
                  </w:r>
                  <w:r w:rsidR="00C176FC" w:rsidRPr="00A36FF6">
                    <w:t xml:space="preserve"> </w:t>
                  </w:r>
                  <w:r w:rsidR="00360547">
                    <w:t xml:space="preserve">be </w:t>
                  </w:r>
                  <w:r w:rsidR="00C176FC" w:rsidRPr="00A36FF6">
                    <w:t>prepare</w:t>
                  </w:r>
                  <w:r w:rsidR="00360547">
                    <w:t>d</w:t>
                  </w:r>
                  <w:r w:rsidR="00C176FC" w:rsidRPr="00A36FF6">
                    <w:t xml:space="preserve"> in </w:t>
                  </w:r>
                  <w:r w:rsidR="008D0BCB" w:rsidRPr="00A36FF6">
                    <w:t>collaboration with a prestigious university</w:t>
                  </w:r>
                  <w:r w:rsidR="00EB11C7" w:rsidRPr="00A36FF6">
                    <w:t xml:space="preserve"> and/or </w:t>
                  </w:r>
                  <w:r w:rsidR="00BE6E87" w:rsidRPr="00A36FF6">
                    <w:t>tech</w:t>
                  </w:r>
                  <w:r w:rsidR="00C176FC" w:rsidRPr="00A36FF6">
                    <w:t xml:space="preserve">nology </w:t>
                  </w:r>
                  <w:r w:rsidR="00BE6E87" w:rsidRPr="00A36FF6">
                    <w:t xml:space="preserve">company </w:t>
                  </w:r>
                  <w:r w:rsidR="00C176FC" w:rsidRPr="00A36FF6">
                    <w:t xml:space="preserve">in order </w:t>
                  </w:r>
                  <w:r w:rsidR="00BE6E87" w:rsidRPr="00A36FF6">
                    <w:t xml:space="preserve">to evaluate the technical robustness of the </w:t>
                  </w:r>
                  <w:r w:rsidR="00C176FC" w:rsidRPr="00A36FF6">
                    <w:t xml:space="preserve">submitted </w:t>
                  </w:r>
                  <w:r w:rsidR="00EB11C7" w:rsidRPr="00A36FF6">
                    <w:t>proposal</w:t>
                  </w:r>
                  <w:r w:rsidR="009A2DFC">
                    <w:t>s</w:t>
                  </w:r>
                  <w:r w:rsidR="00EB11C7" w:rsidRPr="00A36FF6">
                    <w:t xml:space="preserve">, and later on the </w:t>
                  </w:r>
                  <w:r w:rsidR="00BE6E87" w:rsidRPr="00A36FF6">
                    <w:t>application</w:t>
                  </w:r>
                  <w:r w:rsidR="00EB11C7" w:rsidRPr="00A36FF6">
                    <w:t>s</w:t>
                  </w:r>
                  <w:r w:rsidR="00BE6E87" w:rsidRPr="00A36FF6">
                    <w:t xml:space="preserve"> and technologies</w:t>
                  </w:r>
                  <w:r w:rsidR="00EB11C7" w:rsidRPr="00A36FF6">
                    <w:t xml:space="preserve"> to be supported</w:t>
                  </w:r>
                  <w:r w:rsidR="00BE6E87" w:rsidRPr="00A36FF6">
                    <w:t xml:space="preserve">. </w:t>
                  </w:r>
                </w:p>
              </w:tc>
            </w:tr>
            <w:tr w:rsidR="00240D9E" w:rsidRPr="00A36FF6" w14:paraId="33366A44" w14:textId="77777777" w:rsidTr="00905512">
              <w:trPr>
                <w:trHeight w:val="20"/>
              </w:trPr>
              <w:tc>
                <w:tcPr>
                  <w:tcW w:w="9385" w:type="dxa"/>
                  <w:gridSpan w:val="2"/>
                </w:tcPr>
                <w:p w14:paraId="33366A3F" w14:textId="77777777" w:rsidR="009F3F6D" w:rsidRDefault="00240D9E" w:rsidP="007F6682">
                  <w:pPr>
                    <w:jc w:val="both"/>
                    <w:rPr>
                      <w:b/>
                      <w:bCs/>
                    </w:rPr>
                  </w:pPr>
                  <w:r w:rsidRPr="00A36FF6">
                    <w:rPr>
                      <w:b/>
                      <w:bCs/>
                    </w:rPr>
                    <w:t xml:space="preserve">13. Background/relevance:  </w:t>
                  </w:r>
                </w:p>
                <w:p w14:paraId="33366A40" w14:textId="77777777" w:rsidR="00423FF7" w:rsidRDefault="009F3F6D" w:rsidP="00423FF7">
                  <w:pPr>
                    <w:jc w:val="both"/>
                    <w:rPr>
                      <w:iCs/>
                    </w:rPr>
                  </w:pPr>
                  <w:r w:rsidRPr="009F3F6D">
                    <w:rPr>
                      <w:iCs/>
                    </w:rPr>
                    <w:t>Worldwide, agriculture is the primary source of income for the rural poor, but most lack access to information</w:t>
                  </w:r>
                  <w:r>
                    <w:rPr>
                      <w:iCs/>
                    </w:rPr>
                    <w:t>, technolog</w:t>
                  </w:r>
                  <w:r w:rsidR="00460B9A">
                    <w:rPr>
                      <w:iCs/>
                    </w:rPr>
                    <w:t xml:space="preserve">ies </w:t>
                  </w:r>
                  <w:r w:rsidRPr="009F3F6D">
                    <w:rPr>
                      <w:iCs/>
                    </w:rPr>
                    <w:t xml:space="preserve">and training needed to maximize their yield production and quality, agricultural inputs and financial resources needed to invest appropriately in their livelihoods, and competitive markets where they can sell their produce to the highest bidder. This depresses their farm productivity and income, just as agribusinesses face looming production crises that lead to supply shortages and price spikes at the consumer level. Meanwhile, the market </w:t>
                  </w:r>
                  <w:r w:rsidR="00460B9A">
                    <w:rPr>
                      <w:iCs/>
                    </w:rPr>
                    <w:t xml:space="preserve">in LAC </w:t>
                  </w:r>
                  <w:r w:rsidRPr="009F3F6D">
                    <w:rPr>
                      <w:iCs/>
                    </w:rPr>
                    <w:t xml:space="preserve">has been slow to develop to meet these farmers’ needs, primarily because the costs of transacting with rural farmers remain prohibitive. Without considerable upfront investment in rural infrastructure, for example, </w:t>
                  </w:r>
                  <w:r w:rsidRPr="00961424">
                    <w:rPr>
                      <w:iCs/>
                    </w:rPr>
                    <w:t>financial institutions lack the ability to cost-effectively identify and acquire qualified smallholders, as well as the visibility needed to make informed lending decisions or monitor ongoing portfolio risks</w:t>
                  </w:r>
                  <w:r w:rsidRPr="009F3F6D">
                    <w:rPr>
                      <w:iCs/>
                    </w:rPr>
                    <w:t>. Similarly, private sector buyers lack data</w:t>
                  </w:r>
                  <w:r w:rsidR="00460B9A">
                    <w:rPr>
                      <w:iCs/>
                    </w:rPr>
                    <w:t>/tools</w:t>
                  </w:r>
                  <w:r w:rsidRPr="009F3F6D">
                    <w:rPr>
                      <w:iCs/>
                    </w:rPr>
                    <w:t xml:space="preserve"> needed to cost-effectively source quality grade produce, and face risks in investing in smallholders whose low, lumpy incomes often force them to side sell for quick cash even when they have the opportunity to access formal value chains.</w:t>
                  </w:r>
                  <w:r w:rsidR="00423FF7">
                    <w:rPr>
                      <w:iCs/>
                    </w:rPr>
                    <w:t xml:space="preserve"> </w:t>
                  </w:r>
                  <w:r w:rsidR="00460B9A" w:rsidRPr="00460B9A">
                    <w:rPr>
                      <w:iCs/>
                    </w:rPr>
                    <w:t>Building cost-effective linkages and improved visibility into farmers’ businesses is critical to enabling financial institution</w:t>
                  </w:r>
                  <w:r w:rsidR="00460B9A">
                    <w:rPr>
                      <w:iCs/>
                    </w:rPr>
                    <w:t xml:space="preserve">, </w:t>
                  </w:r>
                  <w:r w:rsidR="00460B9A" w:rsidRPr="00460B9A">
                    <w:rPr>
                      <w:iCs/>
                    </w:rPr>
                    <w:t>agribusinesses</w:t>
                  </w:r>
                  <w:r w:rsidR="00460B9A">
                    <w:rPr>
                      <w:iCs/>
                    </w:rPr>
                    <w:t xml:space="preserve">, and service providers </w:t>
                  </w:r>
                  <w:r w:rsidR="00460B9A" w:rsidRPr="00460B9A">
                    <w:rPr>
                      <w:iCs/>
                    </w:rPr>
                    <w:t>to work with rural smallholders at significant scale. The rapid expansion of mobile technology presents new opportunities to engage and connect rural smallholders to the resources they badly need, and to develop new business models whereby sourcing from and delivering services to the last mile makes good eco</w:t>
                  </w:r>
                  <w:r w:rsidR="00460B9A">
                    <w:rPr>
                      <w:iCs/>
                    </w:rPr>
                    <w:t>nomic sense. The technical solutions supported through this</w:t>
                  </w:r>
                  <w:r w:rsidR="00460B9A" w:rsidRPr="00460B9A">
                    <w:rPr>
                      <w:iCs/>
                    </w:rPr>
                    <w:t xml:space="preserve"> grant will </w:t>
                  </w:r>
                  <w:r w:rsidR="00460B9A">
                    <w:rPr>
                      <w:iCs/>
                    </w:rPr>
                    <w:t xml:space="preserve">help </w:t>
                  </w:r>
                  <w:r w:rsidR="00460B9A" w:rsidRPr="00460B9A">
                    <w:rPr>
                      <w:iCs/>
                    </w:rPr>
                    <w:t xml:space="preserve">to unlock access to </w:t>
                  </w:r>
                  <w:r w:rsidR="00460B9A">
                    <w:rPr>
                      <w:iCs/>
                    </w:rPr>
                    <w:t xml:space="preserve">finance, technical assistance, markets and </w:t>
                  </w:r>
                  <w:r w:rsidR="00460B9A" w:rsidRPr="00460B9A">
                    <w:rPr>
                      <w:iCs/>
                    </w:rPr>
                    <w:t xml:space="preserve">services that farmers require to generate greater yields and sell in higher-paying, standards-based </w:t>
                  </w:r>
                  <w:r w:rsidR="00423FF7">
                    <w:rPr>
                      <w:iCs/>
                    </w:rPr>
                    <w:t xml:space="preserve">markets. These </w:t>
                  </w:r>
                  <w:r w:rsidR="00460B9A" w:rsidRPr="00460B9A">
                    <w:rPr>
                      <w:iCs/>
                    </w:rPr>
                    <w:t xml:space="preserve">same </w:t>
                  </w:r>
                  <w:r w:rsidR="00423FF7">
                    <w:rPr>
                      <w:iCs/>
                    </w:rPr>
                    <w:t xml:space="preserve">technologies </w:t>
                  </w:r>
                  <w:r w:rsidR="00460B9A" w:rsidRPr="00460B9A">
                    <w:rPr>
                      <w:iCs/>
                    </w:rPr>
                    <w:t>can then use by agribusinesses to reliably source from smallholders while improving operational efficiencies and reducing costs, and by financial institutions to affordably acquire and service customers at the last mile.</w:t>
                  </w:r>
                  <w:r w:rsidR="00423FF7">
                    <w:rPr>
                      <w:iCs/>
                    </w:rPr>
                    <w:t xml:space="preserve"> </w:t>
                  </w:r>
                </w:p>
                <w:p w14:paraId="33366A41" w14:textId="77777777" w:rsidR="003822AA" w:rsidRDefault="003822AA" w:rsidP="00423FF7">
                  <w:pPr>
                    <w:jc w:val="both"/>
                    <w:rPr>
                      <w:iCs/>
                    </w:rPr>
                  </w:pPr>
                </w:p>
                <w:p w14:paraId="33366A42" w14:textId="77777777" w:rsidR="00393D37" w:rsidRDefault="00BE6E87" w:rsidP="00961424">
                  <w:pPr>
                    <w:jc w:val="both"/>
                    <w:rPr>
                      <w:iCs/>
                    </w:rPr>
                  </w:pPr>
                  <w:r w:rsidRPr="00A36FF6">
                    <w:rPr>
                      <w:iCs/>
                    </w:rPr>
                    <w:t xml:space="preserve">The private sector has become the growth engine in rural economies as a main source for </w:t>
                  </w:r>
                  <w:r w:rsidR="00ED38E7">
                    <w:rPr>
                      <w:iCs/>
                    </w:rPr>
                    <w:t xml:space="preserve">innovation, </w:t>
                  </w:r>
                  <w:r w:rsidRPr="00A36FF6">
                    <w:rPr>
                      <w:iCs/>
                    </w:rPr>
                    <w:t>investment</w:t>
                  </w:r>
                  <w:r w:rsidR="00961424">
                    <w:rPr>
                      <w:iCs/>
                    </w:rPr>
                    <w:t>s</w:t>
                  </w:r>
                  <w:r w:rsidR="00D235D9" w:rsidRPr="00A36FF6">
                    <w:rPr>
                      <w:iCs/>
                    </w:rPr>
                    <w:t xml:space="preserve"> </w:t>
                  </w:r>
                  <w:r w:rsidRPr="00A36FF6">
                    <w:rPr>
                      <w:iCs/>
                    </w:rPr>
                    <w:t>an</w:t>
                  </w:r>
                  <w:r w:rsidR="0056625D" w:rsidRPr="00A36FF6">
                    <w:rPr>
                      <w:iCs/>
                    </w:rPr>
                    <w:t>d rural financial constructions. The</w:t>
                  </w:r>
                  <w:r w:rsidRPr="00A36FF6">
                    <w:rPr>
                      <w:iCs/>
                    </w:rPr>
                    <w:t xml:space="preserve"> </w:t>
                  </w:r>
                  <w:r w:rsidR="0056625D" w:rsidRPr="00A36FF6">
                    <w:rPr>
                      <w:iCs/>
                    </w:rPr>
                    <w:t>innovation</w:t>
                  </w:r>
                  <w:r w:rsidR="00B63FF9" w:rsidRPr="00A36FF6">
                    <w:rPr>
                      <w:iCs/>
                    </w:rPr>
                    <w:t>s</w:t>
                  </w:r>
                  <w:r w:rsidR="0056625D" w:rsidRPr="00A36FF6">
                    <w:rPr>
                      <w:iCs/>
                    </w:rPr>
                    <w:t xml:space="preserve"> and new technolog</w:t>
                  </w:r>
                  <w:r w:rsidR="00B63FF9" w:rsidRPr="00A36FF6">
                    <w:rPr>
                      <w:iCs/>
                    </w:rPr>
                    <w:t xml:space="preserve">ies that </w:t>
                  </w:r>
                  <w:r w:rsidR="0056625D" w:rsidRPr="00A36FF6">
                    <w:rPr>
                      <w:iCs/>
                    </w:rPr>
                    <w:t>start-up</w:t>
                  </w:r>
                  <w:r w:rsidR="00380215" w:rsidRPr="00A36FF6">
                    <w:rPr>
                      <w:iCs/>
                    </w:rPr>
                    <w:t xml:space="preserve"> </w:t>
                  </w:r>
                  <w:r w:rsidR="00C73BA8" w:rsidRPr="00A36FF6">
                    <w:rPr>
                      <w:iCs/>
                    </w:rPr>
                    <w:t>companies in</w:t>
                  </w:r>
                  <w:r w:rsidR="0056625D" w:rsidRPr="00A36FF6">
                    <w:rPr>
                      <w:iCs/>
                    </w:rPr>
                    <w:t xml:space="preserve"> the financial</w:t>
                  </w:r>
                  <w:r w:rsidR="00614DF6" w:rsidRPr="00A36FF6">
                    <w:rPr>
                      <w:iCs/>
                    </w:rPr>
                    <w:t xml:space="preserve"> and a</w:t>
                  </w:r>
                  <w:r w:rsidR="0056625D" w:rsidRPr="00A36FF6">
                    <w:rPr>
                      <w:iCs/>
                    </w:rPr>
                    <w:t xml:space="preserve">griculture services industry </w:t>
                  </w:r>
                  <w:r w:rsidR="00B63FF9" w:rsidRPr="00A36FF6">
                    <w:rPr>
                      <w:iCs/>
                    </w:rPr>
                    <w:t xml:space="preserve">developed are of </w:t>
                  </w:r>
                  <w:r w:rsidR="0056625D" w:rsidRPr="00A36FF6">
                    <w:rPr>
                      <w:iCs/>
                    </w:rPr>
                    <w:t>vital importan</w:t>
                  </w:r>
                  <w:r w:rsidR="00B63FF9" w:rsidRPr="00A36FF6">
                    <w:rPr>
                      <w:iCs/>
                    </w:rPr>
                    <w:t xml:space="preserve">ce </w:t>
                  </w:r>
                  <w:r w:rsidR="0056625D" w:rsidRPr="00A36FF6">
                    <w:rPr>
                      <w:iCs/>
                    </w:rPr>
                    <w:t xml:space="preserve">for the future </w:t>
                  </w:r>
                  <w:r w:rsidR="003236CF" w:rsidRPr="00A36FF6">
                    <w:rPr>
                      <w:iCs/>
                    </w:rPr>
                    <w:t>of the sector</w:t>
                  </w:r>
                  <w:r w:rsidR="00380215" w:rsidRPr="00A36FF6">
                    <w:rPr>
                      <w:iCs/>
                    </w:rPr>
                    <w:t xml:space="preserve"> to increase and maintain its competitiveness</w:t>
                  </w:r>
                  <w:r w:rsidR="003236CF" w:rsidRPr="00A36FF6">
                    <w:rPr>
                      <w:iCs/>
                    </w:rPr>
                    <w:t xml:space="preserve">. IFAD </w:t>
                  </w:r>
                  <w:r w:rsidR="0056625D" w:rsidRPr="00A36FF6">
                    <w:rPr>
                      <w:iCs/>
                    </w:rPr>
                    <w:t>need</w:t>
                  </w:r>
                  <w:r w:rsidR="003236CF" w:rsidRPr="00A36FF6">
                    <w:rPr>
                      <w:iCs/>
                    </w:rPr>
                    <w:t>s</w:t>
                  </w:r>
                  <w:r w:rsidR="0056625D" w:rsidRPr="00A36FF6">
                    <w:rPr>
                      <w:iCs/>
                    </w:rPr>
                    <w:t xml:space="preserve"> to step up efforts to continue </w:t>
                  </w:r>
                  <w:r w:rsidRPr="00A36FF6">
                    <w:rPr>
                      <w:iCs/>
                    </w:rPr>
                    <w:t xml:space="preserve">connecting smallholders to </w:t>
                  </w:r>
                  <w:r w:rsidR="00380215" w:rsidRPr="00A36FF6">
                    <w:rPr>
                      <w:iCs/>
                    </w:rPr>
                    <w:t>better markets, services and financial solutions th</w:t>
                  </w:r>
                  <w:r w:rsidR="007F6682">
                    <w:rPr>
                      <w:iCs/>
                    </w:rPr>
                    <w:t>r</w:t>
                  </w:r>
                  <w:r w:rsidR="00380215" w:rsidRPr="00A36FF6">
                    <w:rPr>
                      <w:iCs/>
                    </w:rPr>
                    <w:t xml:space="preserve">ough </w:t>
                  </w:r>
                  <w:r w:rsidRPr="00A36FF6">
                    <w:rPr>
                      <w:iCs/>
                    </w:rPr>
                    <w:t>the private sector</w:t>
                  </w:r>
                  <w:r w:rsidR="003236CF" w:rsidRPr="00A36FF6">
                    <w:rPr>
                      <w:iCs/>
                    </w:rPr>
                    <w:t xml:space="preserve"> </w:t>
                  </w:r>
                  <w:r w:rsidRPr="00A36FF6">
                    <w:rPr>
                      <w:iCs/>
                    </w:rPr>
                    <w:t>in order to lift the rural sector out of poverty</w:t>
                  </w:r>
                  <w:r w:rsidR="0056625D" w:rsidRPr="00A36FF6">
                    <w:rPr>
                      <w:iCs/>
                    </w:rPr>
                    <w:t xml:space="preserve">. </w:t>
                  </w:r>
                  <w:r w:rsidRPr="00A36FF6">
                    <w:rPr>
                      <w:iCs/>
                    </w:rPr>
                    <w:t xml:space="preserve"> </w:t>
                  </w:r>
                  <w:r w:rsidR="00380215" w:rsidRPr="00A36FF6">
                    <w:rPr>
                      <w:iCs/>
                    </w:rPr>
                    <w:t>However, t</w:t>
                  </w:r>
                  <w:r w:rsidRPr="00A36FF6">
                    <w:rPr>
                      <w:iCs/>
                    </w:rPr>
                    <w:t>here are several constraints when it comes to engaging private sector actors and building partnerships, especially in relation to the availability and cost of services</w:t>
                  </w:r>
                  <w:r w:rsidR="00380215" w:rsidRPr="00A36FF6">
                    <w:rPr>
                      <w:iCs/>
                    </w:rPr>
                    <w:t xml:space="preserve">, information, </w:t>
                  </w:r>
                  <w:r w:rsidRPr="00A36FF6">
                    <w:rPr>
                      <w:iCs/>
                    </w:rPr>
                    <w:t xml:space="preserve">and technologies to </w:t>
                  </w:r>
                  <w:r w:rsidR="00074C5B" w:rsidRPr="00A36FF6">
                    <w:rPr>
                      <w:iCs/>
                    </w:rPr>
                    <w:t xml:space="preserve">support </w:t>
                  </w:r>
                  <w:r w:rsidRPr="00A36FF6">
                    <w:rPr>
                      <w:iCs/>
                    </w:rPr>
                    <w:t xml:space="preserve">small producers. Local private sector companies, </w:t>
                  </w:r>
                  <w:r w:rsidR="00C73BA8" w:rsidRPr="00A36FF6">
                    <w:rPr>
                      <w:iCs/>
                    </w:rPr>
                    <w:t>especially</w:t>
                  </w:r>
                  <w:r w:rsidRPr="00A36FF6">
                    <w:rPr>
                      <w:iCs/>
                    </w:rPr>
                    <w:t xml:space="preserve"> techn</w:t>
                  </w:r>
                  <w:r w:rsidR="00704937" w:rsidRPr="00A36FF6">
                    <w:rPr>
                      <w:iCs/>
                    </w:rPr>
                    <w:t>ology innovators, Agritech and F</w:t>
                  </w:r>
                  <w:r w:rsidRPr="00A36FF6">
                    <w:rPr>
                      <w:iCs/>
                    </w:rPr>
                    <w:t>intech companies serving rural population</w:t>
                  </w:r>
                  <w:r w:rsidR="00380215" w:rsidRPr="00A36FF6">
                    <w:rPr>
                      <w:iCs/>
                    </w:rPr>
                    <w:t>s</w:t>
                  </w:r>
                  <w:r w:rsidRPr="00A36FF6">
                    <w:rPr>
                      <w:iCs/>
                    </w:rPr>
                    <w:t xml:space="preserve">, struggle </w:t>
                  </w:r>
                  <w:r w:rsidR="00074C5B" w:rsidRPr="00A36FF6">
                    <w:rPr>
                      <w:iCs/>
                    </w:rPr>
                    <w:t xml:space="preserve">to adjust their technologies to serve smallholders, </w:t>
                  </w:r>
                  <w:r w:rsidRPr="00A36FF6">
                    <w:rPr>
                      <w:iCs/>
                    </w:rPr>
                    <w:t>position themselves</w:t>
                  </w:r>
                  <w:r w:rsidR="00380215" w:rsidRPr="00A36FF6">
                    <w:rPr>
                      <w:iCs/>
                    </w:rPr>
                    <w:t xml:space="preserve"> in rural markets</w:t>
                  </w:r>
                  <w:r w:rsidR="00091B7E" w:rsidRPr="00A36FF6">
                    <w:rPr>
                      <w:iCs/>
                    </w:rPr>
                    <w:t xml:space="preserve">, </w:t>
                  </w:r>
                  <w:r w:rsidRPr="00A36FF6">
                    <w:rPr>
                      <w:iCs/>
                    </w:rPr>
                    <w:t xml:space="preserve">and </w:t>
                  </w:r>
                  <w:r w:rsidR="00380215" w:rsidRPr="00A36FF6">
                    <w:rPr>
                      <w:iCs/>
                    </w:rPr>
                    <w:t xml:space="preserve">to </w:t>
                  </w:r>
                  <w:r w:rsidRPr="00A36FF6">
                    <w:rPr>
                      <w:iCs/>
                    </w:rPr>
                    <w:t>scale up their solution</w:t>
                  </w:r>
                  <w:r w:rsidR="00074C5B" w:rsidRPr="00A36FF6">
                    <w:rPr>
                      <w:iCs/>
                    </w:rPr>
                    <w:t>s/</w:t>
                  </w:r>
                  <w:r w:rsidRPr="00A36FF6">
                    <w:rPr>
                      <w:iCs/>
                    </w:rPr>
                    <w:t>services</w:t>
                  </w:r>
                  <w:r w:rsidR="00380215" w:rsidRPr="00A36FF6">
                    <w:rPr>
                      <w:iCs/>
                    </w:rPr>
                    <w:t xml:space="preserve"> at a sustainable level</w:t>
                  </w:r>
                  <w:r w:rsidR="00074C5B" w:rsidRPr="00A36FF6">
                    <w:rPr>
                      <w:iCs/>
                    </w:rPr>
                    <w:t>.</w:t>
                  </w:r>
                  <w:r w:rsidR="00380215" w:rsidRPr="00A36FF6">
                    <w:rPr>
                      <w:iCs/>
                    </w:rPr>
                    <w:t xml:space="preserve"> </w:t>
                  </w:r>
                  <w:r w:rsidR="00C775F9" w:rsidRPr="00A36FF6">
                    <w:rPr>
                      <w:iCs/>
                    </w:rPr>
                    <w:t>F</w:t>
                  </w:r>
                  <w:r w:rsidR="00074C5B" w:rsidRPr="00A36FF6">
                    <w:rPr>
                      <w:iCs/>
                    </w:rPr>
                    <w:t xml:space="preserve">intech companies </w:t>
                  </w:r>
                  <w:r w:rsidRPr="00A36FF6">
                    <w:rPr>
                      <w:iCs/>
                    </w:rPr>
                    <w:t xml:space="preserve">usually </w:t>
                  </w:r>
                  <w:proofErr w:type="gramStart"/>
                  <w:r w:rsidRPr="00A36FF6">
                    <w:rPr>
                      <w:iCs/>
                    </w:rPr>
                    <w:t>don’t</w:t>
                  </w:r>
                  <w:proofErr w:type="gramEnd"/>
                  <w:r w:rsidRPr="00A36FF6">
                    <w:rPr>
                      <w:iCs/>
                    </w:rPr>
                    <w:t xml:space="preserve"> have </w:t>
                  </w:r>
                  <w:r w:rsidR="00074C5B" w:rsidRPr="00A36FF6">
                    <w:rPr>
                      <w:iCs/>
                    </w:rPr>
                    <w:t xml:space="preserve">experience </w:t>
                  </w:r>
                  <w:r w:rsidRPr="00A36FF6">
                    <w:rPr>
                      <w:iCs/>
                    </w:rPr>
                    <w:t xml:space="preserve">operating in rural areas </w:t>
                  </w:r>
                  <w:r w:rsidR="00074C5B" w:rsidRPr="00A36FF6">
                    <w:rPr>
                      <w:iCs/>
                    </w:rPr>
                    <w:t xml:space="preserve">or </w:t>
                  </w:r>
                  <w:r w:rsidR="00585DE6" w:rsidRPr="00A36FF6">
                    <w:rPr>
                      <w:iCs/>
                    </w:rPr>
                    <w:t xml:space="preserve">with </w:t>
                  </w:r>
                  <w:r w:rsidRPr="00A36FF6">
                    <w:rPr>
                      <w:iCs/>
                    </w:rPr>
                    <w:t>agriculture</w:t>
                  </w:r>
                  <w:r w:rsidR="00585DE6" w:rsidRPr="00A36FF6">
                    <w:rPr>
                      <w:iCs/>
                    </w:rPr>
                    <w:t xml:space="preserve"> producer</w:t>
                  </w:r>
                  <w:r w:rsidR="00C775F9" w:rsidRPr="00A36FF6">
                    <w:rPr>
                      <w:iCs/>
                    </w:rPr>
                    <w:t>s</w:t>
                  </w:r>
                  <w:r w:rsidR="00074C5B" w:rsidRPr="00A36FF6">
                    <w:rPr>
                      <w:iCs/>
                    </w:rPr>
                    <w:t xml:space="preserve"> </w:t>
                  </w:r>
                  <w:r w:rsidR="00585DE6" w:rsidRPr="00A36FF6">
                    <w:rPr>
                      <w:iCs/>
                    </w:rPr>
                    <w:t xml:space="preserve">while Agritech companies </w:t>
                  </w:r>
                  <w:r w:rsidRPr="00A36FF6">
                    <w:rPr>
                      <w:iCs/>
                    </w:rPr>
                    <w:t xml:space="preserve">lack enough financial resources to expand their services or customize them to provide </w:t>
                  </w:r>
                  <w:r w:rsidR="00C775F9" w:rsidRPr="00A36FF6">
                    <w:rPr>
                      <w:iCs/>
                    </w:rPr>
                    <w:t xml:space="preserve">better </w:t>
                  </w:r>
                  <w:r w:rsidRPr="00A36FF6">
                    <w:rPr>
                      <w:iCs/>
                    </w:rPr>
                    <w:t>services to poor farmers. Access to technology has been one of the fundamental drivers behind the progress on improving access to finance, markets and services</w:t>
                  </w:r>
                  <w:r w:rsidR="00C775F9" w:rsidRPr="00A36FF6">
                    <w:rPr>
                      <w:iCs/>
                    </w:rPr>
                    <w:t xml:space="preserve"> in other regions compared to Latin America; h</w:t>
                  </w:r>
                  <w:r w:rsidRPr="00A36FF6">
                    <w:rPr>
                      <w:iCs/>
                    </w:rPr>
                    <w:t>owever,</w:t>
                  </w:r>
                  <w:r w:rsidR="00C775F9" w:rsidRPr="00A36FF6">
                    <w:rPr>
                      <w:iCs/>
                    </w:rPr>
                    <w:t xml:space="preserve"> still </w:t>
                  </w:r>
                  <w:r w:rsidRPr="00A36FF6">
                    <w:rPr>
                      <w:iCs/>
                    </w:rPr>
                    <w:t xml:space="preserve">1.7 billion adults around the world remain unbanked, </w:t>
                  </w:r>
                  <w:r w:rsidR="00C775F9" w:rsidRPr="00A36FF6">
                    <w:rPr>
                      <w:iCs/>
                    </w:rPr>
                    <w:t>underserved , a</w:t>
                  </w:r>
                  <w:r w:rsidRPr="00A36FF6">
                    <w:rPr>
                      <w:iCs/>
                    </w:rPr>
                    <w:t xml:space="preserve">nd most of them with limited access to markets. The World Bank reports that formal banking reaches about 40% of the population </w:t>
                  </w:r>
                  <w:r w:rsidRPr="00A36FF6">
                    <w:rPr>
                      <w:iCs/>
                    </w:rPr>
                    <w:lastRenderedPageBreak/>
                    <w:t xml:space="preserve">in emerging markets while 90% of adults today own a mobile phone. </w:t>
                  </w:r>
                  <w:r w:rsidR="00C775F9" w:rsidRPr="00A36FF6">
                    <w:rPr>
                      <w:iCs/>
                    </w:rPr>
                    <w:t xml:space="preserve">IFAD is looking </w:t>
                  </w:r>
                  <w:r w:rsidR="007F6682">
                    <w:rPr>
                      <w:iCs/>
                    </w:rPr>
                    <w:t xml:space="preserve">for </w:t>
                  </w:r>
                  <w:r w:rsidR="00C775F9" w:rsidRPr="00A36FF6">
                    <w:rPr>
                      <w:iCs/>
                    </w:rPr>
                    <w:t>new ways to engage private sector companies</w:t>
                  </w:r>
                  <w:proofErr w:type="gramStart"/>
                  <w:r w:rsidR="00C775F9" w:rsidRPr="00A36FF6">
                    <w:rPr>
                      <w:iCs/>
                    </w:rPr>
                    <w:t>;</w:t>
                  </w:r>
                  <w:proofErr w:type="gramEnd"/>
                  <w:r w:rsidR="00C775F9" w:rsidRPr="00A36FF6">
                    <w:rPr>
                      <w:iCs/>
                    </w:rPr>
                    <w:t xml:space="preserve"> </w:t>
                  </w:r>
                  <w:r w:rsidRPr="00961424">
                    <w:rPr>
                      <w:iCs/>
                    </w:rPr>
                    <w:t>mobile and digital technologies maybe the key f</w:t>
                  </w:r>
                  <w:r w:rsidR="00C775F9" w:rsidRPr="00961424">
                    <w:rPr>
                      <w:iCs/>
                    </w:rPr>
                    <w:t xml:space="preserve">or unlocking access to </w:t>
                  </w:r>
                  <w:r w:rsidR="00C73BA8" w:rsidRPr="00961424">
                    <w:rPr>
                      <w:iCs/>
                    </w:rPr>
                    <w:t>finance,</w:t>
                  </w:r>
                  <w:r w:rsidR="00C775F9" w:rsidRPr="00961424">
                    <w:rPr>
                      <w:iCs/>
                    </w:rPr>
                    <w:t xml:space="preserve"> </w:t>
                  </w:r>
                  <w:r w:rsidR="00C73BA8" w:rsidRPr="00961424">
                    <w:rPr>
                      <w:iCs/>
                    </w:rPr>
                    <w:t>services,</w:t>
                  </w:r>
                  <w:r w:rsidR="00C775F9" w:rsidRPr="00961424">
                    <w:rPr>
                      <w:iCs/>
                    </w:rPr>
                    <w:t xml:space="preserve"> an</w:t>
                  </w:r>
                  <w:r w:rsidRPr="00961424">
                    <w:rPr>
                      <w:iCs/>
                    </w:rPr>
                    <w:t>d markets for small holder</w:t>
                  </w:r>
                  <w:r w:rsidR="00C775F9" w:rsidRPr="00961424">
                    <w:rPr>
                      <w:iCs/>
                    </w:rPr>
                    <w:t>s.</w:t>
                  </w:r>
                  <w:r w:rsidR="00C775F9" w:rsidRPr="00A36FF6">
                    <w:rPr>
                      <w:iCs/>
                    </w:rPr>
                    <w:t xml:space="preserve">  </w:t>
                  </w:r>
                  <w:r w:rsidR="00861FBC" w:rsidRPr="00A36FF6">
                    <w:rPr>
                      <w:iCs/>
                    </w:rPr>
                    <w:t>S</w:t>
                  </w:r>
                  <w:r w:rsidR="00C775F9" w:rsidRPr="00A36FF6">
                    <w:rPr>
                      <w:iCs/>
                    </w:rPr>
                    <w:t>upporting new F</w:t>
                  </w:r>
                  <w:r w:rsidRPr="00A36FF6">
                    <w:rPr>
                      <w:iCs/>
                    </w:rPr>
                    <w:t xml:space="preserve">intech and </w:t>
                  </w:r>
                  <w:r w:rsidR="00C775F9" w:rsidRPr="00A36FF6">
                    <w:rPr>
                      <w:iCs/>
                    </w:rPr>
                    <w:t>A</w:t>
                  </w:r>
                  <w:r w:rsidRPr="00A36FF6">
                    <w:rPr>
                      <w:iCs/>
                    </w:rPr>
                    <w:t xml:space="preserve">gritech solutions </w:t>
                  </w:r>
                  <w:r w:rsidR="00861FBC" w:rsidRPr="00A36FF6">
                    <w:rPr>
                      <w:iCs/>
                    </w:rPr>
                    <w:t xml:space="preserve">that </w:t>
                  </w:r>
                  <w:r w:rsidRPr="00A36FF6">
                    <w:rPr>
                      <w:iCs/>
                    </w:rPr>
                    <w:t>are emerging to deliver easier, cheaper, and faster ways to</w:t>
                  </w:r>
                  <w:r w:rsidR="00861FBC" w:rsidRPr="00A36FF6">
                    <w:rPr>
                      <w:iCs/>
                    </w:rPr>
                    <w:t xml:space="preserve"> provide </w:t>
                  </w:r>
                  <w:r w:rsidRPr="00A36FF6">
                    <w:rPr>
                      <w:iCs/>
                    </w:rPr>
                    <w:t xml:space="preserve">financial/non-financial services </w:t>
                  </w:r>
                  <w:r w:rsidR="00861FBC" w:rsidRPr="00A36FF6">
                    <w:rPr>
                      <w:iCs/>
                    </w:rPr>
                    <w:t>can enhance IFAD portfolio of loans</w:t>
                  </w:r>
                  <w:r w:rsidR="00704937" w:rsidRPr="00A36FF6">
                    <w:rPr>
                      <w:iCs/>
                    </w:rPr>
                    <w:t xml:space="preserve">, and reduce costs to benefit </w:t>
                  </w:r>
                  <w:r w:rsidRPr="00A36FF6">
                    <w:rPr>
                      <w:iCs/>
                    </w:rPr>
                    <w:t>smallholders.</w:t>
                  </w:r>
                  <w:r w:rsidR="00393D37" w:rsidRPr="00A36FF6">
                    <w:rPr>
                      <w:iCs/>
                    </w:rPr>
                    <w:t xml:space="preserve"> Furthermore, development, testing, and sustainable deployment of digital solutions that improve smallholder access to markets and financial/non-financial services while enabling IFAD to sustainably collect the data it needs to target investments, inform strategy, and build partnerships with the private sector directly contributes to all three Strategic Objectives within IFAD’s 2016-2025 Strategic Framework.</w:t>
                  </w:r>
                </w:p>
                <w:p w14:paraId="33366A43" w14:textId="77777777" w:rsidR="003822AA" w:rsidRPr="00A36FF6" w:rsidRDefault="003822AA" w:rsidP="00423FF7">
                  <w:pPr>
                    <w:jc w:val="both"/>
                    <w:rPr>
                      <w:iCs/>
                    </w:rPr>
                  </w:pPr>
                </w:p>
              </w:tc>
            </w:tr>
            <w:tr w:rsidR="00655D89" w:rsidRPr="00A36FF6" w14:paraId="33366A4B" w14:textId="77777777" w:rsidTr="00905512">
              <w:trPr>
                <w:trHeight w:val="20"/>
              </w:trPr>
              <w:tc>
                <w:tcPr>
                  <w:tcW w:w="9385" w:type="dxa"/>
                  <w:gridSpan w:val="2"/>
                </w:tcPr>
                <w:p w14:paraId="33366A45" w14:textId="77777777" w:rsidR="00736AA3" w:rsidRPr="00A36FF6" w:rsidRDefault="00240D9E" w:rsidP="000C504E">
                  <w:pPr>
                    <w:rPr>
                      <w:iCs/>
                    </w:rPr>
                  </w:pPr>
                  <w:r w:rsidRPr="00A36FF6">
                    <w:rPr>
                      <w:b/>
                      <w:bCs/>
                    </w:rPr>
                    <w:lastRenderedPageBreak/>
                    <w:t>14</w:t>
                  </w:r>
                  <w:r w:rsidR="00020753" w:rsidRPr="00A36FF6">
                    <w:rPr>
                      <w:b/>
                      <w:bCs/>
                    </w:rPr>
                    <w:t xml:space="preserve">. </w:t>
                  </w:r>
                  <w:r w:rsidR="00655D89" w:rsidRPr="00A36FF6">
                    <w:rPr>
                      <w:b/>
                      <w:bCs/>
                    </w:rPr>
                    <w:t xml:space="preserve">Direct and indirect </w:t>
                  </w:r>
                  <w:r w:rsidR="00B61D25" w:rsidRPr="00A36FF6">
                    <w:rPr>
                      <w:b/>
                      <w:bCs/>
                    </w:rPr>
                    <w:t>target group</w:t>
                  </w:r>
                  <w:r w:rsidR="00655D89" w:rsidRPr="00A36FF6">
                    <w:rPr>
                      <w:b/>
                      <w:bCs/>
                    </w:rPr>
                    <w:t xml:space="preserve">: </w:t>
                  </w:r>
                  <w:r w:rsidR="00736AA3" w:rsidRPr="00A36FF6">
                    <w:rPr>
                      <w:iCs/>
                    </w:rPr>
                    <w:t>The project will target different type</w:t>
                  </w:r>
                  <w:r w:rsidR="007F6682">
                    <w:rPr>
                      <w:iCs/>
                    </w:rPr>
                    <w:t>s</w:t>
                  </w:r>
                  <w:r w:rsidR="00736AA3" w:rsidRPr="00A36FF6">
                    <w:rPr>
                      <w:iCs/>
                    </w:rPr>
                    <w:t xml:space="preserve"> of stakeholders such as: </w:t>
                  </w:r>
                </w:p>
                <w:p w14:paraId="33366A46" w14:textId="77777777" w:rsidR="00736AA3" w:rsidRPr="00BE1A9F" w:rsidRDefault="00736AA3" w:rsidP="00961424">
                  <w:pPr>
                    <w:autoSpaceDE w:val="0"/>
                    <w:autoSpaceDN w:val="0"/>
                    <w:adjustRightInd w:val="0"/>
                    <w:jc w:val="both"/>
                    <w:rPr>
                      <w:iCs/>
                    </w:rPr>
                  </w:pPr>
                  <w:r w:rsidRPr="00A36FF6">
                    <w:rPr>
                      <w:b/>
                      <w:bCs/>
                      <w:iCs/>
                    </w:rPr>
                    <w:t xml:space="preserve">Fintech/Agritech </w:t>
                  </w:r>
                  <w:r w:rsidR="007604EF">
                    <w:rPr>
                      <w:b/>
                      <w:bCs/>
                      <w:iCs/>
                    </w:rPr>
                    <w:t xml:space="preserve">private sector </w:t>
                  </w:r>
                  <w:r w:rsidRPr="00A36FF6">
                    <w:rPr>
                      <w:b/>
                      <w:bCs/>
                      <w:iCs/>
                    </w:rPr>
                    <w:t>companies</w:t>
                  </w:r>
                  <w:r w:rsidR="007604EF">
                    <w:rPr>
                      <w:b/>
                      <w:bCs/>
                      <w:iCs/>
                    </w:rPr>
                    <w:t xml:space="preserve"> in the project focus countries</w:t>
                  </w:r>
                  <w:r w:rsidRPr="00A36FF6">
                    <w:rPr>
                      <w:b/>
                      <w:bCs/>
                      <w:iCs/>
                    </w:rPr>
                    <w:t>:</w:t>
                  </w:r>
                  <w:r w:rsidRPr="00A36FF6">
                    <w:rPr>
                      <w:iCs/>
                    </w:rPr>
                    <w:t xml:space="preserve"> The grant will support </w:t>
                  </w:r>
                  <w:r w:rsidR="0026466F">
                    <w:rPr>
                      <w:iCs/>
                    </w:rPr>
                    <w:t xml:space="preserve">at least </w:t>
                  </w:r>
                  <w:r w:rsidRPr="00A36FF6">
                    <w:rPr>
                      <w:iCs/>
                    </w:rPr>
                    <w:t xml:space="preserve">10 companies to customize their </w:t>
                  </w:r>
                  <w:r w:rsidR="003822AA">
                    <w:rPr>
                      <w:iCs/>
                    </w:rPr>
                    <w:t xml:space="preserve">offering of </w:t>
                  </w:r>
                  <w:r w:rsidRPr="00A36FF6">
                    <w:rPr>
                      <w:iCs/>
                    </w:rPr>
                    <w:t>technologies</w:t>
                  </w:r>
                  <w:r w:rsidR="003822AA">
                    <w:rPr>
                      <w:iCs/>
                    </w:rPr>
                    <w:t>/solutions</w:t>
                  </w:r>
                  <w:r w:rsidR="003822AA" w:rsidRPr="00BE1A9F">
                    <w:rPr>
                      <w:iCs/>
                    </w:rPr>
                    <w:t xml:space="preserve"> </w:t>
                  </w:r>
                  <w:proofErr w:type="gramStart"/>
                  <w:r w:rsidRPr="00A36FF6">
                    <w:rPr>
                      <w:iCs/>
                    </w:rPr>
                    <w:t xml:space="preserve">to </w:t>
                  </w:r>
                  <w:r w:rsidR="00E10B69">
                    <w:rPr>
                      <w:iCs/>
                    </w:rPr>
                    <w:t xml:space="preserve"> improve</w:t>
                  </w:r>
                  <w:proofErr w:type="gramEnd"/>
                  <w:r w:rsidR="00E10B69">
                    <w:rPr>
                      <w:iCs/>
                    </w:rPr>
                    <w:t xml:space="preserve"> or innovate </w:t>
                  </w:r>
                  <w:r w:rsidRPr="00A36FF6">
                    <w:rPr>
                      <w:iCs/>
                    </w:rPr>
                    <w:t>financial and non-financial services to smallholders within IFAD portfolio of loans.</w:t>
                  </w:r>
                  <w:r w:rsidR="003822AA">
                    <w:rPr>
                      <w:iCs/>
                    </w:rPr>
                    <w:t xml:space="preserve"> </w:t>
                  </w:r>
                  <w:r w:rsidR="00946430">
                    <w:rPr>
                      <w:iCs/>
                    </w:rPr>
                    <w:t>This technologies might include</w:t>
                  </w:r>
                  <w:r w:rsidR="00BE1A9F">
                    <w:rPr>
                      <w:iCs/>
                    </w:rPr>
                    <w:t xml:space="preserve"> among other</w:t>
                  </w:r>
                  <w:r w:rsidR="00705D85">
                    <w:rPr>
                      <w:iCs/>
                    </w:rPr>
                    <w:t>s</w:t>
                  </w:r>
                  <w:r w:rsidR="00BE1A9F">
                    <w:rPr>
                      <w:iCs/>
                    </w:rPr>
                    <w:t xml:space="preserve"> the </w:t>
                  </w:r>
                  <w:r w:rsidR="00BE1A9F" w:rsidRPr="00BE1A9F">
                    <w:rPr>
                      <w:iCs/>
                    </w:rPr>
                    <w:t>use of crypto-currencies such as bitcoin, the use of block chain, credit scores, big data, artificial intelligence, regulatory technology (</w:t>
                  </w:r>
                  <w:proofErr w:type="spellStart"/>
                  <w:r w:rsidR="00BE1A9F" w:rsidRPr="00BE1A9F">
                    <w:rPr>
                      <w:iCs/>
                    </w:rPr>
                    <w:t>RegTech</w:t>
                  </w:r>
                  <w:proofErr w:type="spellEnd"/>
                  <w:r w:rsidR="00BE1A9F" w:rsidRPr="00BE1A9F">
                    <w:rPr>
                      <w:iCs/>
                    </w:rPr>
                    <w:t>), Cloud Computing, biometrics, keystroke dynamics, to protect e</w:t>
                  </w:r>
                  <w:r w:rsidR="00BE1A9F">
                    <w:rPr>
                      <w:iCs/>
                    </w:rPr>
                    <w:t>-</w:t>
                  </w:r>
                  <w:r w:rsidR="00BE1A9F" w:rsidRPr="00BE1A9F">
                    <w:rPr>
                      <w:iCs/>
                    </w:rPr>
                    <w:t>payment, etc. It could also include</w:t>
                  </w:r>
                  <w:r w:rsidR="008D0624">
                    <w:rPr>
                      <w:iCs/>
                    </w:rPr>
                    <w:t xml:space="preserve"> the use of drones, satellite imaging, biotech, remote sensing, etc.</w:t>
                  </w:r>
                </w:p>
                <w:p w14:paraId="33366A47" w14:textId="77777777" w:rsidR="00736AA3" w:rsidRPr="00A36FF6" w:rsidRDefault="00736AA3" w:rsidP="006D5E01">
                  <w:pPr>
                    <w:autoSpaceDE w:val="0"/>
                    <w:autoSpaceDN w:val="0"/>
                    <w:adjustRightInd w:val="0"/>
                    <w:jc w:val="both"/>
                    <w:rPr>
                      <w:iCs/>
                    </w:rPr>
                  </w:pPr>
                  <w:r w:rsidRPr="00A36FF6">
                    <w:rPr>
                      <w:b/>
                      <w:bCs/>
                      <w:iCs/>
                    </w:rPr>
                    <w:t>Direct target group:</w:t>
                  </w:r>
                  <w:r w:rsidRPr="00A36FF6">
                    <w:rPr>
                      <w:iCs/>
                    </w:rPr>
                    <w:t xml:space="preserve"> Within this </w:t>
                  </w:r>
                  <w:proofErr w:type="gramStart"/>
                  <w:r w:rsidRPr="00A36FF6">
                    <w:rPr>
                      <w:iCs/>
                    </w:rPr>
                    <w:t>group</w:t>
                  </w:r>
                  <w:proofErr w:type="gramEnd"/>
                  <w:r w:rsidRPr="00A36FF6">
                    <w:rPr>
                      <w:iCs/>
                    </w:rPr>
                    <w:t xml:space="preserve"> the Fintech/Agritech companies will work with cooperatives, POs and associations, and farmers’ SME willing to adopt th</w:t>
                  </w:r>
                  <w:r w:rsidR="00BA447A" w:rsidRPr="00A36FF6">
                    <w:rPr>
                      <w:iCs/>
                    </w:rPr>
                    <w:t xml:space="preserve">ese </w:t>
                  </w:r>
                  <w:r w:rsidRPr="00A36FF6">
                    <w:rPr>
                      <w:iCs/>
                    </w:rPr>
                    <w:t xml:space="preserve">technologies/services </w:t>
                  </w:r>
                  <w:r w:rsidR="00BA447A" w:rsidRPr="00A36FF6">
                    <w:rPr>
                      <w:iCs/>
                    </w:rPr>
                    <w:t xml:space="preserve">that allow them to have </w:t>
                  </w:r>
                  <w:r w:rsidRPr="00A36FF6">
                    <w:rPr>
                      <w:iCs/>
                    </w:rPr>
                    <w:t>more and better</w:t>
                  </w:r>
                  <w:r w:rsidR="00BA447A" w:rsidRPr="00A36FF6">
                    <w:rPr>
                      <w:iCs/>
                    </w:rPr>
                    <w:t xml:space="preserve"> access to</w:t>
                  </w:r>
                  <w:r w:rsidRPr="00A36FF6">
                    <w:rPr>
                      <w:iCs/>
                    </w:rPr>
                    <w:t xml:space="preserve"> regional, national and international markets</w:t>
                  </w:r>
                  <w:r w:rsidR="00BA447A" w:rsidRPr="00A36FF6">
                    <w:rPr>
                      <w:iCs/>
                    </w:rPr>
                    <w:t xml:space="preserve"> as well as other financial and non-financial services</w:t>
                  </w:r>
                  <w:r w:rsidRPr="00A36FF6">
                    <w:rPr>
                      <w:iCs/>
                    </w:rPr>
                    <w:t xml:space="preserve">. </w:t>
                  </w:r>
                  <w:r w:rsidR="00BA447A" w:rsidRPr="00A36FF6">
                    <w:rPr>
                      <w:iCs/>
                    </w:rPr>
                    <w:t xml:space="preserve">It is difficult to calculate exactly the number of direct beneficiaries </w:t>
                  </w:r>
                  <w:r w:rsidR="00D76A41" w:rsidRPr="00A36FF6">
                    <w:rPr>
                      <w:iCs/>
                    </w:rPr>
                    <w:t xml:space="preserve">until the companies </w:t>
                  </w:r>
                  <w:proofErr w:type="gramStart"/>
                  <w:r w:rsidR="00D76A41" w:rsidRPr="00A36FF6">
                    <w:rPr>
                      <w:iCs/>
                    </w:rPr>
                    <w:t>are selected</w:t>
                  </w:r>
                  <w:proofErr w:type="gramEnd"/>
                  <w:r w:rsidR="00D76A41" w:rsidRPr="00A36FF6">
                    <w:rPr>
                      <w:iCs/>
                    </w:rPr>
                    <w:t>. However, it will be requested that at least 4</w:t>
                  </w:r>
                  <w:r w:rsidRPr="00A36FF6">
                    <w:rPr>
                      <w:iCs/>
                    </w:rPr>
                    <w:t>0 groups (POs) with</w:t>
                  </w:r>
                  <w:r w:rsidR="00D76A41" w:rsidRPr="00A36FF6">
                    <w:rPr>
                      <w:iCs/>
                    </w:rPr>
                    <w:t xml:space="preserve"> an average of 3</w:t>
                  </w:r>
                  <w:r w:rsidRPr="00A36FF6">
                    <w:rPr>
                      <w:iCs/>
                    </w:rPr>
                    <w:t>0 members</w:t>
                  </w:r>
                  <w:r w:rsidR="006D5E01" w:rsidRPr="00A36FF6">
                    <w:rPr>
                      <w:iCs/>
                    </w:rPr>
                    <w:t xml:space="preserve"> each </w:t>
                  </w:r>
                  <w:r w:rsidR="00D76A41" w:rsidRPr="00A36FF6">
                    <w:rPr>
                      <w:iCs/>
                    </w:rPr>
                    <w:t>are served by each technology</w:t>
                  </w:r>
                  <w:r w:rsidR="006D5E01" w:rsidRPr="00A36FF6">
                    <w:rPr>
                      <w:iCs/>
                    </w:rPr>
                    <w:t>/</w:t>
                  </w:r>
                  <w:r w:rsidR="00D76A41" w:rsidRPr="00A36FF6">
                    <w:rPr>
                      <w:iCs/>
                    </w:rPr>
                    <w:t>applications</w:t>
                  </w:r>
                  <w:r w:rsidR="00EC29B8">
                    <w:rPr>
                      <w:iCs/>
                    </w:rPr>
                    <w:t xml:space="preserve"> (10)</w:t>
                  </w:r>
                  <w:r w:rsidR="00D76A41" w:rsidRPr="00A36FF6">
                    <w:rPr>
                      <w:iCs/>
                    </w:rPr>
                    <w:t xml:space="preserve">, </w:t>
                  </w:r>
                  <w:r w:rsidRPr="00A36FF6">
                    <w:rPr>
                      <w:iCs/>
                    </w:rPr>
                    <w:t>adding up</w:t>
                  </w:r>
                  <w:r w:rsidR="00EC29B8">
                    <w:rPr>
                      <w:iCs/>
                    </w:rPr>
                    <w:t xml:space="preserve"> to a total of 4</w:t>
                  </w:r>
                  <w:r w:rsidRPr="00A36FF6">
                    <w:rPr>
                      <w:iCs/>
                    </w:rPr>
                    <w:t>0</w:t>
                  </w:r>
                  <w:r w:rsidR="00D76A41" w:rsidRPr="00A36FF6">
                    <w:rPr>
                      <w:iCs/>
                    </w:rPr>
                    <w:t>0</w:t>
                  </w:r>
                  <w:r w:rsidRPr="00A36FF6">
                    <w:rPr>
                      <w:iCs/>
                    </w:rPr>
                    <w:t xml:space="preserve"> groups</w:t>
                  </w:r>
                  <w:r w:rsidR="00D76A41" w:rsidRPr="00A36FF6">
                    <w:rPr>
                      <w:iCs/>
                    </w:rPr>
                    <w:t xml:space="preserve">, or </w:t>
                  </w:r>
                  <w:r w:rsidR="006D5E01" w:rsidRPr="00A36FF6">
                    <w:rPr>
                      <w:iCs/>
                    </w:rPr>
                    <w:t>12000 members.</w:t>
                  </w:r>
                  <w:r w:rsidRPr="00A36FF6">
                    <w:rPr>
                      <w:iCs/>
                    </w:rPr>
                    <w:t xml:space="preserve"> </w:t>
                  </w:r>
                </w:p>
                <w:p w14:paraId="33366A48" w14:textId="77777777" w:rsidR="006D5E01" w:rsidRDefault="00736AA3" w:rsidP="00EC29B8">
                  <w:pPr>
                    <w:autoSpaceDE w:val="0"/>
                    <w:autoSpaceDN w:val="0"/>
                    <w:adjustRightInd w:val="0"/>
                    <w:jc w:val="both"/>
                    <w:rPr>
                      <w:iCs/>
                    </w:rPr>
                  </w:pPr>
                  <w:r w:rsidRPr="00A36FF6">
                    <w:rPr>
                      <w:b/>
                      <w:bCs/>
                      <w:iCs/>
                    </w:rPr>
                    <w:t>Indirect target group</w:t>
                  </w:r>
                  <w:r w:rsidRPr="00A36FF6">
                    <w:rPr>
                      <w:iCs/>
                    </w:rPr>
                    <w:t xml:space="preserve">: The grant will seek to work with different types of value chain members and market actors such as processors, SME, and local and international agribusiness looking for opportunities to </w:t>
                  </w:r>
                  <w:r w:rsidR="006D5E01" w:rsidRPr="00A36FF6">
                    <w:rPr>
                      <w:iCs/>
                    </w:rPr>
                    <w:t xml:space="preserve">work with </w:t>
                  </w:r>
                  <w:r w:rsidRPr="00A36FF6">
                    <w:rPr>
                      <w:iCs/>
                    </w:rPr>
                    <w:t>smallholders</w:t>
                  </w:r>
                  <w:r w:rsidR="006D5E01" w:rsidRPr="00A36FF6">
                    <w:rPr>
                      <w:iCs/>
                    </w:rPr>
                    <w:t xml:space="preserve"> using new technologies or application to provide financial or non-financial services </w:t>
                  </w:r>
                  <w:r w:rsidRPr="00A36FF6">
                    <w:rPr>
                      <w:iCs/>
                    </w:rPr>
                    <w:t>. It will also include local SME and private sector companies that want to buy product in small scale from smallholders such as restaurants, local processors, exporters, supermarkets, etc. (</w:t>
                  </w:r>
                  <w:r w:rsidR="006D5E01" w:rsidRPr="00A36FF6">
                    <w:rPr>
                      <w:iCs/>
                    </w:rPr>
                    <w:t>at least 5</w:t>
                  </w:r>
                  <w:r w:rsidRPr="00A36FF6">
                    <w:rPr>
                      <w:iCs/>
                    </w:rPr>
                    <w:t xml:space="preserve"> private sector companies/financial organizations per country</w:t>
                  </w:r>
                  <w:r w:rsidR="006D5E01" w:rsidRPr="00A36FF6">
                    <w:rPr>
                      <w:iCs/>
                    </w:rPr>
                    <w:t xml:space="preserve"> (at least3), adding up to </w:t>
                  </w:r>
                  <w:r w:rsidRPr="00A36FF6">
                    <w:rPr>
                      <w:iCs/>
                    </w:rPr>
                    <w:t xml:space="preserve">15 </w:t>
                  </w:r>
                  <w:r w:rsidR="006D5E01" w:rsidRPr="00A36FF6">
                    <w:rPr>
                      <w:iCs/>
                    </w:rPr>
                    <w:t xml:space="preserve">SME </w:t>
                  </w:r>
                  <w:r w:rsidRPr="00A36FF6">
                    <w:rPr>
                      <w:iCs/>
                    </w:rPr>
                    <w:t>in total</w:t>
                  </w:r>
                </w:p>
                <w:p w14:paraId="33366A49" w14:textId="77777777" w:rsidR="00EC29B8" w:rsidRPr="00A36FF6" w:rsidRDefault="00EC29B8" w:rsidP="00EC29B8">
                  <w:pPr>
                    <w:autoSpaceDE w:val="0"/>
                    <w:autoSpaceDN w:val="0"/>
                    <w:adjustRightInd w:val="0"/>
                    <w:jc w:val="both"/>
                    <w:rPr>
                      <w:iCs/>
                    </w:rPr>
                  </w:pPr>
                </w:p>
                <w:p w14:paraId="33366A4A" w14:textId="77777777" w:rsidR="00704937" w:rsidRPr="00A36FF6" w:rsidRDefault="006D5E01" w:rsidP="006D5E01">
                  <w:pPr>
                    <w:jc w:val="both"/>
                    <w:rPr>
                      <w:i/>
                      <w:iCs/>
                    </w:rPr>
                  </w:pPr>
                  <w:r w:rsidRPr="00A36FF6">
                    <w:rPr>
                      <w:color w:val="000000"/>
                    </w:rPr>
                    <w:t xml:space="preserve">All beneficiaries will have a direct link to an IFAD project. </w:t>
                  </w:r>
                  <w:r w:rsidR="005B2113" w:rsidRPr="00A36FF6">
                    <w:rPr>
                      <w:color w:val="000000"/>
                    </w:rPr>
                    <w:t xml:space="preserve">Gender equity and equality </w:t>
                  </w:r>
                  <w:proofErr w:type="gramStart"/>
                  <w:r w:rsidR="005B2113" w:rsidRPr="00A36FF6">
                    <w:rPr>
                      <w:color w:val="000000"/>
                    </w:rPr>
                    <w:t>will be ensured</w:t>
                  </w:r>
                  <w:proofErr w:type="gramEnd"/>
                  <w:r w:rsidR="005B2113" w:rsidRPr="00A36FF6">
                    <w:rPr>
                      <w:color w:val="000000"/>
                    </w:rPr>
                    <w:t xml:space="preserve"> in all components</w:t>
                  </w:r>
                  <w:r w:rsidRPr="00A36FF6">
                    <w:rPr>
                      <w:color w:val="000000"/>
                    </w:rPr>
                    <w:t>/activities considered in this grant.</w:t>
                  </w:r>
                  <w:r w:rsidR="005B2113" w:rsidRPr="00A36FF6">
                    <w:rPr>
                      <w:color w:val="000000"/>
                    </w:rPr>
                    <w:t xml:space="preserve">  The participation of at least 50% of women in all activities will be </w:t>
                  </w:r>
                  <w:r w:rsidR="00C73BA8" w:rsidRPr="00A36FF6">
                    <w:rPr>
                      <w:color w:val="000000"/>
                    </w:rPr>
                    <w:t>guaranteed</w:t>
                  </w:r>
                  <w:r w:rsidRPr="00A36FF6">
                    <w:rPr>
                      <w:color w:val="000000"/>
                    </w:rPr>
                    <w:t xml:space="preserve"> and at least 30% of youth.</w:t>
                  </w:r>
                </w:p>
              </w:tc>
            </w:tr>
            <w:tr w:rsidR="007143ED" w:rsidRPr="00A36FF6" w14:paraId="33366A54" w14:textId="77777777" w:rsidTr="00905512">
              <w:trPr>
                <w:trHeight w:val="4736"/>
              </w:trPr>
              <w:tc>
                <w:tcPr>
                  <w:tcW w:w="9385" w:type="dxa"/>
                  <w:gridSpan w:val="2"/>
                </w:tcPr>
                <w:p w14:paraId="33366A4C" w14:textId="77777777" w:rsidR="000C504E" w:rsidRPr="00A36FF6" w:rsidRDefault="00240D9E" w:rsidP="00E10B69">
                  <w:pPr>
                    <w:pStyle w:val="ListParagraph"/>
                    <w:ind w:left="0"/>
                    <w:contextualSpacing w:val="0"/>
                    <w:jc w:val="both"/>
                    <w:rPr>
                      <w:iCs/>
                    </w:rPr>
                  </w:pPr>
                  <w:proofErr w:type="gramStart"/>
                  <w:r w:rsidRPr="00A36FF6">
                    <w:rPr>
                      <w:b/>
                      <w:bCs/>
                    </w:rPr>
                    <w:t>15</w:t>
                  </w:r>
                  <w:r w:rsidR="00020753" w:rsidRPr="00A36FF6">
                    <w:rPr>
                      <w:b/>
                      <w:bCs/>
                    </w:rPr>
                    <w:t xml:space="preserve">. </w:t>
                  </w:r>
                  <w:r w:rsidR="00FA145D" w:rsidRPr="00A36FF6">
                    <w:rPr>
                      <w:b/>
                      <w:bCs/>
                    </w:rPr>
                    <w:t>Goal,</w:t>
                  </w:r>
                  <w:r w:rsidR="007143ED" w:rsidRPr="00A36FF6">
                    <w:rPr>
                      <w:b/>
                      <w:bCs/>
                    </w:rPr>
                    <w:t xml:space="preserve"> objectives and expected outcomes: </w:t>
                  </w:r>
                  <w:r w:rsidR="000C504E" w:rsidRPr="00A36FF6">
                    <w:rPr>
                      <w:b/>
                      <w:bCs/>
                    </w:rPr>
                    <w:t xml:space="preserve"> </w:t>
                  </w:r>
                  <w:r w:rsidR="000C504E" w:rsidRPr="00A36FF6">
                    <w:rPr>
                      <w:color w:val="000000"/>
                    </w:rPr>
                    <w:t xml:space="preserve">At the forefront of technology innovation, are nimble and innovative start-up companies and SME that can harness the latest technologies and deploy operating models to quickly develop strong customer centric value propositions, thus the overall goal of the </w:t>
                  </w:r>
                  <w:r w:rsidR="008D0624">
                    <w:rPr>
                      <w:color w:val="000000"/>
                    </w:rPr>
                    <w:t xml:space="preserve">grant </w:t>
                  </w:r>
                  <w:r w:rsidR="000C504E" w:rsidRPr="00A36FF6">
                    <w:rPr>
                      <w:color w:val="000000"/>
                    </w:rPr>
                    <w:t>is</w:t>
                  </w:r>
                  <w:r w:rsidR="008D0624">
                    <w:rPr>
                      <w:color w:val="000000"/>
                    </w:rPr>
                    <w:t xml:space="preserve"> to improve </w:t>
                  </w:r>
                  <w:r w:rsidR="008D0624">
                    <w:t>smallholder livelihoods through better access to markers, and new financial and non-financial services provided by private sector companies that leverage the use of ICT.</w:t>
                  </w:r>
                  <w:proofErr w:type="gramEnd"/>
                </w:p>
                <w:p w14:paraId="33366A4D" w14:textId="77777777" w:rsidR="00275313" w:rsidRPr="00A36FF6" w:rsidRDefault="00275313" w:rsidP="00107390">
                  <w:pPr>
                    <w:pStyle w:val="ListParagraph"/>
                    <w:ind w:left="0"/>
                    <w:contextualSpacing w:val="0"/>
                    <w:jc w:val="both"/>
                    <w:rPr>
                      <w:iCs/>
                    </w:rPr>
                  </w:pPr>
                </w:p>
                <w:p w14:paraId="33366A4E" w14:textId="77777777" w:rsidR="000C504E" w:rsidRPr="00A36FF6" w:rsidRDefault="000C504E" w:rsidP="00107390">
                  <w:pPr>
                    <w:pStyle w:val="ListParagraph"/>
                    <w:ind w:left="0"/>
                    <w:contextualSpacing w:val="0"/>
                    <w:jc w:val="both"/>
                    <w:rPr>
                      <w:iCs/>
                    </w:rPr>
                  </w:pPr>
                  <w:r w:rsidRPr="00A36FF6">
                    <w:rPr>
                      <w:iCs/>
                    </w:rPr>
                    <w:t>This grant has the following objectives :</w:t>
                  </w:r>
                </w:p>
                <w:p w14:paraId="33366A4F" w14:textId="77777777" w:rsidR="000C504E" w:rsidRPr="00A36FF6" w:rsidRDefault="000C504E" w:rsidP="00107390">
                  <w:pPr>
                    <w:pStyle w:val="ListParagraph"/>
                    <w:numPr>
                      <w:ilvl w:val="0"/>
                      <w:numId w:val="10"/>
                    </w:numPr>
                    <w:ind w:left="171" w:hanging="171"/>
                    <w:jc w:val="both"/>
                    <w:rPr>
                      <w:iCs/>
                    </w:rPr>
                  </w:pPr>
                  <w:r w:rsidRPr="00A36FF6">
                    <w:rPr>
                      <w:iCs/>
                    </w:rPr>
                    <w:t>Identify the best technology innovators, Agr</w:t>
                  </w:r>
                  <w:r w:rsidR="00275313" w:rsidRPr="00A36FF6">
                    <w:rPr>
                      <w:iCs/>
                    </w:rPr>
                    <w:t>i</w:t>
                  </w:r>
                  <w:r w:rsidRPr="00A36FF6">
                    <w:rPr>
                      <w:iCs/>
                    </w:rPr>
                    <w:t>tech</w:t>
                  </w:r>
                  <w:r w:rsidR="00107390" w:rsidRPr="00A36FF6">
                    <w:rPr>
                      <w:iCs/>
                    </w:rPr>
                    <w:t>/</w:t>
                  </w:r>
                  <w:r w:rsidRPr="00A36FF6">
                    <w:rPr>
                      <w:iCs/>
                    </w:rPr>
                    <w:t xml:space="preserve">Fintech </w:t>
                  </w:r>
                  <w:proofErr w:type="gramStart"/>
                  <w:r w:rsidRPr="00A36FF6">
                    <w:rPr>
                      <w:iCs/>
                    </w:rPr>
                    <w:t>companies</w:t>
                  </w:r>
                  <w:r w:rsidR="008D0624">
                    <w:rPr>
                      <w:iCs/>
                    </w:rPr>
                    <w:t xml:space="preserve">  (</w:t>
                  </w:r>
                  <w:proofErr w:type="gramEnd"/>
                  <w:r w:rsidR="008D0624" w:rsidRPr="00A36FF6">
                    <w:rPr>
                      <w:iCs/>
                    </w:rPr>
                    <w:t xml:space="preserve">start-ups and </w:t>
                  </w:r>
                  <w:r w:rsidR="008D0624">
                    <w:rPr>
                      <w:iCs/>
                    </w:rPr>
                    <w:t>M</w:t>
                  </w:r>
                  <w:r w:rsidR="008D0624" w:rsidRPr="00A36FF6">
                    <w:rPr>
                      <w:iCs/>
                    </w:rPr>
                    <w:t>SME</w:t>
                  </w:r>
                  <w:r w:rsidR="008D0624">
                    <w:rPr>
                      <w:iCs/>
                    </w:rPr>
                    <w:t>)</w:t>
                  </w:r>
                  <w:r w:rsidR="008D0624" w:rsidRPr="00A36FF6">
                    <w:rPr>
                      <w:iCs/>
                    </w:rPr>
                    <w:t xml:space="preserve"> </w:t>
                  </w:r>
                  <w:r w:rsidR="008D0624">
                    <w:rPr>
                      <w:iCs/>
                    </w:rPr>
                    <w:t xml:space="preserve"> with presence in LAC</w:t>
                  </w:r>
                  <w:r w:rsidRPr="00A36FF6">
                    <w:rPr>
                      <w:iCs/>
                    </w:rPr>
                    <w:t xml:space="preserve"> that provide financial and non-financial services for small farmers to improve their access to financing, technical assistance, and markets. </w:t>
                  </w:r>
                </w:p>
                <w:p w14:paraId="33366A50" w14:textId="77777777" w:rsidR="000C504E" w:rsidRPr="00A36FF6" w:rsidRDefault="00122FAB" w:rsidP="00122FAB">
                  <w:pPr>
                    <w:pStyle w:val="ListParagraph"/>
                    <w:numPr>
                      <w:ilvl w:val="0"/>
                      <w:numId w:val="10"/>
                    </w:numPr>
                    <w:ind w:left="171" w:hanging="171"/>
                    <w:jc w:val="both"/>
                    <w:rPr>
                      <w:iCs/>
                    </w:rPr>
                  </w:pPr>
                  <w:r>
                    <w:rPr>
                      <w:iCs/>
                    </w:rPr>
                    <w:t xml:space="preserve">Support those </w:t>
                  </w:r>
                  <w:r w:rsidR="008D0624">
                    <w:rPr>
                      <w:iCs/>
                    </w:rPr>
                    <w:t>companies (</w:t>
                  </w:r>
                  <w:r w:rsidR="000C504E" w:rsidRPr="00A36FF6">
                    <w:rPr>
                      <w:iCs/>
                    </w:rPr>
                    <w:t xml:space="preserve">start-ups and </w:t>
                  </w:r>
                  <w:r w:rsidR="008D0624">
                    <w:rPr>
                      <w:iCs/>
                    </w:rPr>
                    <w:t>M</w:t>
                  </w:r>
                  <w:r w:rsidR="000C504E" w:rsidRPr="00A36FF6">
                    <w:rPr>
                      <w:iCs/>
                    </w:rPr>
                    <w:t>SME</w:t>
                  </w:r>
                  <w:r w:rsidR="008D0624">
                    <w:rPr>
                      <w:iCs/>
                    </w:rPr>
                    <w:t>)</w:t>
                  </w:r>
                  <w:r w:rsidR="000C504E" w:rsidRPr="00A36FF6">
                    <w:rPr>
                      <w:iCs/>
                    </w:rPr>
                    <w:t xml:space="preserve"> to </w:t>
                  </w:r>
                  <w:r w:rsidRPr="00A36FF6">
                    <w:rPr>
                      <w:iCs/>
                    </w:rPr>
                    <w:t>customize</w:t>
                  </w:r>
                  <w:r>
                    <w:rPr>
                      <w:iCs/>
                    </w:rPr>
                    <w:t xml:space="preserve"> and mainstream </w:t>
                  </w:r>
                  <w:r w:rsidR="000C504E" w:rsidRPr="00A36FF6">
                    <w:rPr>
                      <w:iCs/>
                    </w:rPr>
                    <w:t xml:space="preserve">the provision of their services to smallholders within IFAD portfolio, and </w:t>
                  </w:r>
                </w:p>
                <w:p w14:paraId="33366A51" w14:textId="77777777" w:rsidR="0013344E" w:rsidRPr="00A36FF6" w:rsidRDefault="000C504E" w:rsidP="00122FAB">
                  <w:pPr>
                    <w:pStyle w:val="ListParagraph"/>
                    <w:numPr>
                      <w:ilvl w:val="0"/>
                      <w:numId w:val="10"/>
                    </w:numPr>
                    <w:ind w:left="171" w:hanging="171"/>
                    <w:jc w:val="both"/>
                    <w:rPr>
                      <w:iCs/>
                    </w:rPr>
                  </w:pPr>
                  <w:r w:rsidRPr="00A36FF6">
                    <w:rPr>
                      <w:iCs/>
                    </w:rPr>
                    <w:t xml:space="preserve">Set </w:t>
                  </w:r>
                  <w:r w:rsidR="00122FAB">
                    <w:rPr>
                      <w:iCs/>
                    </w:rPr>
                    <w:t>up those companies (</w:t>
                  </w:r>
                  <w:r w:rsidR="00122FAB" w:rsidRPr="00A36FF6">
                    <w:rPr>
                      <w:iCs/>
                    </w:rPr>
                    <w:t xml:space="preserve">start-ups and </w:t>
                  </w:r>
                  <w:r w:rsidR="00122FAB">
                    <w:rPr>
                      <w:iCs/>
                    </w:rPr>
                    <w:t>M</w:t>
                  </w:r>
                  <w:r w:rsidR="00122FAB" w:rsidRPr="00A36FF6">
                    <w:rPr>
                      <w:iCs/>
                    </w:rPr>
                    <w:t>SME</w:t>
                  </w:r>
                  <w:r w:rsidR="00122FAB">
                    <w:rPr>
                      <w:iCs/>
                    </w:rPr>
                    <w:t>)</w:t>
                  </w:r>
                  <w:r w:rsidR="00122FAB" w:rsidRPr="00A36FF6">
                    <w:rPr>
                      <w:iCs/>
                    </w:rPr>
                    <w:t xml:space="preserve"> </w:t>
                  </w:r>
                  <w:r w:rsidRPr="00A36FF6">
                    <w:rPr>
                      <w:iCs/>
                    </w:rPr>
                    <w:t xml:space="preserve">with potential financiers such as the ABC or </w:t>
                  </w:r>
                  <w:r w:rsidR="00C73BA8" w:rsidRPr="00A36FF6">
                    <w:rPr>
                      <w:iCs/>
                    </w:rPr>
                    <w:t>an</w:t>
                  </w:r>
                  <w:r w:rsidR="00275313" w:rsidRPr="00A36FF6">
                    <w:rPr>
                      <w:iCs/>
                    </w:rPr>
                    <w:t xml:space="preserve"> Agritech/F</w:t>
                  </w:r>
                  <w:r w:rsidRPr="00A36FF6">
                    <w:rPr>
                      <w:iCs/>
                    </w:rPr>
                    <w:t>intech investment funds to scale up their services and technical solutions</w:t>
                  </w:r>
                  <w:r w:rsidR="00275313" w:rsidRPr="00A36FF6">
                    <w:rPr>
                      <w:iCs/>
                    </w:rPr>
                    <w:t xml:space="preserve"> to </w:t>
                  </w:r>
                  <w:r w:rsidR="00C73BA8" w:rsidRPr="00A36FF6">
                    <w:rPr>
                      <w:iCs/>
                    </w:rPr>
                    <w:t>the entire</w:t>
                  </w:r>
                  <w:r w:rsidR="00275313" w:rsidRPr="00A36FF6">
                    <w:rPr>
                      <w:iCs/>
                    </w:rPr>
                    <w:t xml:space="preserve"> region in different countries.</w:t>
                  </w:r>
                </w:p>
                <w:p w14:paraId="33366A52" w14:textId="77777777" w:rsidR="00275313" w:rsidRPr="00A36FF6" w:rsidRDefault="00275313" w:rsidP="00107390">
                  <w:pPr>
                    <w:pStyle w:val="ListParagraph"/>
                    <w:ind w:left="0"/>
                    <w:contextualSpacing w:val="0"/>
                    <w:jc w:val="both"/>
                    <w:rPr>
                      <w:iCs/>
                    </w:rPr>
                  </w:pPr>
                </w:p>
                <w:p w14:paraId="33366A53" w14:textId="77777777" w:rsidR="00A36FF6" w:rsidRPr="00A36FF6" w:rsidRDefault="000C504E" w:rsidP="00905512">
                  <w:pPr>
                    <w:pStyle w:val="ListParagraph"/>
                    <w:ind w:left="0"/>
                    <w:contextualSpacing w:val="0"/>
                    <w:jc w:val="both"/>
                    <w:rPr>
                      <w:b/>
                      <w:bCs/>
                    </w:rPr>
                  </w:pPr>
                  <w:proofErr w:type="gramStart"/>
                  <w:r w:rsidRPr="00A36FF6">
                    <w:rPr>
                      <w:iCs/>
                    </w:rPr>
                    <w:t xml:space="preserve">The expected </w:t>
                  </w:r>
                  <w:r w:rsidR="00275313" w:rsidRPr="00A36FF6">
                    <w:rPr>
                      <w:iCs/>
                    </w:rPr>
                    <w:t xml:space="preserve">outcomes </w:t>
                  </w:r>
                  <w:r w:rsidRPr="00A36FF6">
                    <w:rPr>
                      <w:iCs/>
                    </w:rPr>
                    <w:t>are</w:t>
                  </w:r>
                  <w:r w:rsidR="00275313" w:rsidRPr="00A36FF6">
                    <w:rPr>
                      <w:iCs/>
                    </w:rPr>
                    <w:t xml:space="preserve"> the following</w:t>
                  </w:r>
                  <w:r w:rsidRPr="00A36FF6">
                    <w:rPr>
                      <w:iCs/>
                    </w:rPr>
                    <w:t xml:space="preserve">: </w:t>
                  </w:r>
                  <w:proofErr w:type="spellStart"/>
                  <w:r w:rsidR="00275313" w:rsidRPr="00A36FF6">
                    <w:rPr>
                      <w:iCs/>
                    </w:rPr>
                    <w:t>i</w:t>
                  </w:r>
                  <w:proofErr w:type="spellEnd"/>
                  <w:r w:rsidR="00275313" w:rsidRPr="00A36FF6">
                    <w:rPr>
                      <w:iCs/>
                    </w:rPr>
                    <w:t xml:space="preserve">) </w:t>
                  </w:r>
                  <w:r w:rsidR="00905512">
                    <w:rPr>
                      <w:iCs/>
                    </w:rPr>
                    <w:t>A</w:t>
                  </w:r>
                  <w:r w:rsidR="00275313" w:rsidRPr="00A36FF6">
                    <w:rPr>
                      <w:iCs/>
                    </w:rPr>
                    <w:t>t least 2</w:t>
                  </w:r>
                  <w:r w:rsidRPr="00A36FF6">
                    <w:rPr>
                      <w:iCs/>
                    </w:rPr>
                    <w:t>0 companies that provide financial and non-financial services for small farmers have been identified</w:t>
                  </w:r>
                  <w:r w:rsidR="00275313" w:rsidRPr="00A36FF6">
                    <w:rPr>
                      <w:iCs/>
                    </w:rPr>
                    <w:t xml:space="preserve"> within LAC region</w:t>
                  </w:r>
                  <w:r w:rsidRPr="00A36FF6">
                    <w:rPr>
                      <w:iCs/>
                    </w:rPr>
                    <w:t xml:space="preserve">, ii) At least 10 companies are linked to farmers within IFAD portfolio and are providing their </w:t>
                  </w:r>
                  <w:r w:rsidR="00ED38E7">
                    <w:rPr>
                      <w:iCs/>
                    </w:rPr>
                    <w:t xml:space="preserve">innovative </w:t>
                  </w:r>
                  <w:r w:rsidRPr="00A36FF6">
                    <w:rPr>
                      <w:iCs/>
                    </w:rPr>
                    <w:t>services to them, and i</w:t>
                  </w:r>
                  <w:r w:rsidR="00905512">
                    <w:rPr>
                      <w:iCs/>
                    </w:rPr>
                    <w:t>ii</w:t>
                  </w:r>
                  <w:r w:rsidRPr="00A36FF6">
                    <w:rPr>
                      <w:iCs/>
                    </w:rPr>
                    <w:t>) at least 5 companies scale up their operation to one or more project</w:t>
                  </w:r>
                  <w:r w:rsidR="00122FAB">
                    <w:rPr>
                      <w:iCs/>
                    </w:rPr>
                    <w:t>s</w:t>
                  </w:r>
                  <w:r w:rsidRPr="00A36FF6">
                    <w:rPr>
                      <w:iCs/>
                    </w:rPr>
                    <w:t xml:space="preserve"> with the support of a third party financier</w:t>
                  </w:r>
                  <w:r w:rsidR="00905512">
                    <w:rPr>
                      <w:iCs/>
                    </w:rPr>
                    <w:t>, and iv)KM events and products are created.</w:t>
                  </w:r>
                  <w:proofErr w:type="gramEnd"/>
                </w:p>
              </w:tc>
            </w:tr>
            <w:tr w:rsidR="007143ED" w:rsidRPr="00A36FF6" w14:paraId="33366A5A" w14:textId="77777777" w:rsidTr="00905512">
              <w:trPr>
                <w:trHeight w:val="913"/>
              </w:trPr>
              <w:tc>
                <w:tcPr>
                  <w:tcW w:w="9385" w:type="dxa"/>
                  <w:gridSpan w:val="2"/>
                </w:tcPr>
                <w:p w14:paraId="33366A55" w14:textId="77777777" w:rsidR="007B2989" w:rsidRPr="00A36FF6" w:rsidRDefault="00240D9E" w:rsidP="000D5D0F">
                  <w:pPr>
                    <w:pStyle w:val="ListParagraph"/>
                    <w:ind w:left="0"/>
                    <w:contextualSpacing w:val="0"/>
                    <w:rPr>
                      <w:iCs/>
                    </w:rPr>
                  </w:pPr>
                  <w:r w:rsidRPr="00A36FF6">
                    <w:rPr>
                      <w:b/>
                      <w:bCs/>
                    </w:rPr>
                    <w:t>16</w:t>
                  </w:r>
                  <w:r w:rsidR="00020753" w:rsidRPr="00A36FF6">
                    <w:rPr>
                      <w:b/>
                      <w:bCs/>
                    </w:rPr>
                    <w:t xml:space="preserve">. </w:t>
                  </w:r>
                  <w:r w:rsidR="007143ED" w:rsidRPr="00A36FF6">
                    <w:rPr>
                      <w:b/>
                      <w:bCs/>
                    </w:rPr>
                    <w:t>Key activities</w:t>
                  </w:r>
                  <w:r w:rsidR="00636E1D" w:rsidRPr="00A36FF6">
                    <w:rPr>
                      <w:b/>
                      <w:bCs/>
                    </w:rPr>
                    <w:t xml:space="preserve"> by component</w:t>
                  </w:r>
                  <w:r w:rsidR="007143ED" w:rsidRPr="00A36FF6">
                    <w:rPr>
                      <w:b/>
                      <w:bCs/>
                    </w:rPr>
                    <w:t>:</w:t>
                  </w:r>
                  <w:r w:rsidR="00636E1D" w:rsidRPr="00A36FF6">
                    <w:rPr>
                      <w:b/>
                      <w:bCs/>
                    </w:rPr>
                    <w:t xml:space="preserve"> </w:t>
                  </w:r>
                  <w:r w:rsidR="007B2989" w:rsidRPr="00A36FF6">
                    <w:rPr>
                      <w:iCs/>
                    </w:rPr>
                    <w:t>This grant has 4</w:t>
                  </w:r>
                  <w:r w:rsidR="004E7E16" w:rsidRPr="00A36FF6">
                    <w:rPr>
                      <w:iCs/>
                    </w:rPr>
                    <w:t xml:space="preserve"> component</w:t>
                  </w:r>
                  <w:r w:rsidR="002528C8">
                    <w:rPr>
                      <w:iCs/>
                    </w:rPr>
                    <w:t>s</w:t>
                  </w:r>
                  <w:r w:rsidR="004E7E16" w:rsidRPr="00A36FF6">
                    <w:rPr>
                      <w:iCs/>
                    </w:rPr>
                    <w:t xml:space="preserve"> </w:t>
                  </w:r>
                  <w:r w:rsidR="007B2989" w:rsidRPr="00A36FF6">
                    <w:rPr>
                      <w:iCs/>
                    </w:rPr>
                    <w:t>with their respective activities</w:t>
                  </w:r>
                  <w:r w:rsidR="004E7E16" w:rsidRPr="00A36FF6">
                    <w:rPr>
                      <w:iCs/>
                    </w:rPr>
                    <w:t xml:space="preserve"> as </w:t>
                  </w:r>
                  <w:r w:rsidR="007B2989" w:rsidRPr="00A36FF6">
                    <w:rPr>
                      <w:iCs/>
                    </w:rPr>
                    <w:t>described below:</w:t>
                  </w:r>
                </w:p>
                <w:p w14:paraId="33366A56" w14:textId="77777777" w:rsidR="007B2989" w:rsidRPr="00A36FF6" w:rsidRDefault="007B2989" w:rsidP="002528C8">
                  <w:pPr>
                    <w:jc w:val="both"/>
                    <w:rPr>
                      <w:iCs/>
                    </w:rPr>
                  </w:pPr>
                  <w:r w:rsidRPr="00A36FF6">
                    <w:rPr>
                      <w:b/>
                      <w:bCs/>
                      <w:iCs/>
                    </w:rPr>
                    <w:t xml:space="preserve">Component 1: Identification Phase. </w:t>
                  </w:r>
                  <w:r w:rsidRPr="00A36FF6">
                    <w:rPr>
                      <w:iCs/>
                    </w:rPr>
                    <w:t>It include</w:t>
                  </w:r>
                  <w:r w:rsidR="006405E1" w:rsidRPr="00A36FF6">
                    <w:rPr>
                      <w:iCs/>
                    </w:rPr>
                    <w:t>s</w:t>
                  </w:r>
                  <w:r w:rsidRPr="00A36FF6">
                    <w:rPr>
                      <w:iCs/>
                    </w:rPr>
                    <w:t xml:space="preserve"> the selection of the grantee through</w:t>
                  </w:r>
                  <w:r w:rsidR="00B43569" w:rsidRPr="00A36FF6">
                    <w:rPr>
                      <w:iCs/>
                    </w:rPr>
                    <w:t xml:space="preserve">out </w:t>
                  </w:r>
                  <w:r w:rsidRPr="00A36FF6">
                    <w:rPr>
                      <w:iCs/>
                    </w:rPr>
                    <w:t>a competitive process</w:t>
                  </w:r>
                  <w:r w:rsidR="004E7E16" w:rsidRPr="00A36FF6">
                    <w:rPr>
                      <w:iCs/>
                    </w:rPr>
                    <w:t xml:space="preserve"> with the support of a prestigious university</w:t>
                  </w:r>
                  <w:r w:rsidR="004E7E16" w:rsidRPr="00A36FF6">
                    <w:rPr>
                      <w:rStyle w:val="FootnoteReference"/>
                      <w:iCs/>
                    </w:rPr>
                    <w:footnoteReference w:id="5"/>
                  </w:r>
                  <w:r w:rsidRPr="00A36FF6">
                    <w:rPr>
                      <w:iCs/>
                    </w:rPr>
                    <w:t xml:space="preserve">. </w:t>
                  </w:r>
                  <w:r w:rsidR="006405E1" w:rsidRPr="00A36FF6">
                    <w:rPr>
                      <w:iCs/>
                    </w:rPr>
                    <w:t>Once selected, t</w:t>
                  </w:r>
                  <w:r w:rsidRPr="00A36FF6">
                    <w:rPr>
                      <w:iCs/>
                    </w:rPr>
                    <w:t xml:space="preserve">he grantee will </w:t>
                  </w:r>
                  <w:r w:rsidR="0036253D" w:rsidRPr="00A36FF6">
                    <w:rPr>
                      <w:iCs/>
                    </w:rPr>
                    <w:t>be in charge of c</w:t>
                  </w:r>
                  <w:r w:rsidRPr="00A36FF6">
                    <w:rPr>
                      <w:iCs/>
                    </w:rPr>
                    <w:t>onduct</w:t>
                  </w:r>
                  <w:r w:rsidR="0036253D" w:rsidRPr="00A36FF6">
                    <w:rPr>
                      <w:iCs/>
                    </w:rPr>
                    <w:t xml:space="preserve">ing </w:t>
                  </w:r>
                  <w:r w:rsidRPr="00A36FF6">
                    <w:rPr>
                      <w:iCs/>
                    </w:rPr>
                    <w:t xml:space="preserve">a landscape analysis </w:t>
                  </w:r>
                  <w:r w:rsidR="0036253D" w:rsidRPr="00A36FF6">
                    <w:rPr>
                      <w:iCs/>
                    </w:rPr>
                    <w:t xml:space="preserve">to </w:t>
                  </w:r>
                  <w:r w:rsidRPr="00A36FF6">
                    <w:rPr>
                      <w:iCs/>
                    </w:rPr>
                    <w:t>identify Fintech</w:t>
                  </w:r>
                  <w:r w:rsidR="00B43569" w:rsidRPr="00A36FF6">
                    <w:rPr>
                      <w:iCs/>
                    </w:rPr>
                    <w:t>/</w:t>
                  </w:r>
                  <w:r w:rsidRPr="00A36FF6">
                    <w:rPr>
                      <w:iCs/>
                    </w:rPr>
                    <w:t xml:space="preserve">Agritech companies that </w:t>
                  </w:r>
                  <w:r w:rsidR="00D23320" w:rsidRPr="00A36FF6">
                    <w:rPr>
                      <w:iCs/>
                    </w:rPr>
                    <w:t xml:space="preserve">already </w:t>
                  </w:r>
                  <w:r w:rsidRPr="00A36FF6">
                    <w:rPr>
                      <w:iCs/>
                    </w:rPr>
                    <w:t>develop</w:t>
                  </w:r>
                  <w:r w:rsidR="00D23320" w:rsidRPr="00A36FF6">
                    <w:rPr>
                      <w:iCs/>
                    </w:rPr>
                    <w:t xml:space="preserve">ed </w:t>
                  </w:r>
                  <w:r w:rsidRPr="00A36FF6">
                    <w:rPr>
                      <w:iCs/>
                    </w:rPr>
                    <w:t>applications/technologies that provide a service to small holders</w:t>
                  </w:r>
                  <w:r w:rsidR="0036253D" w:rsidRPr="00A36FF6">
                    <w:rPr>
                      <w:iCs/>
                    </w:rPr>
                    <w:t xml:space="preserve"> in L</w:t>
                  </w:r>
                  <w:r w:rsidRPr="00A36FF6">
                    <w:rPr>
                      <w:iCs/>
                    </w:rPr>
                    <w:t>AC, specially linking them to value chain actors for improving smallholder access to markets</w:t>
                  </w:r>
                  <w:r w:rsidR="0026286B" w:rsidRPr="00A36FF6">
                    <w:rPr>
                      <w:iCs/>
                    </w:rPr>
                    <w:t xml:space="preserve"> and </w:t>
                  </w:r>
                  <w:r w:rsidRPr="00A36FF6">
                    <w:rPr>
                      <w:iCs/>
                    </w:rPr>
                    <w:t>financial</w:t>
                  </w:r>
                  <w:r w:rsidR="0026286B" w:rsidRPr="00A36FF6">
                    <w:rPr>
                      <w:iCs/>
                    </w:rPr>
                    <w:t xml:space="preserve">/non-financial </w:t>
                  </w:r>
                  <w:r w:rsidRPr="00A36FF6">
                    <w:rPr>
                      <w:iCs/>
                    </w:rPr>
                    <w:t>services.</w:t>
                  </w:r>
                  <w:r w:rsidR="0036253D" w:rsidRPr="00A36FF6">
                    <w:rPr>
                      <w:iCs/>
                    </w:rPr>
                    <w:t xml:space="preserve"> The grantee will develop </w:t>
                  </w:r>
                  <w:r w:rsidR="000D5D0F" w:rsidRPr="00A36FF6">
                    <w:rPr>
                      <w:iCs/>
                    </w:rPr>
                    <w:t xml:space="preserve">the </w:t>
                  </w:r>
                  <w:r w:rsidR="00BB6928" w:rsidRPr="00A36FF6">
                    <w:rPr>
                      <w:iCs/>
                    </w:rPr>
                    <w:t xml:space="preserve">selection </w:t>
                  </w:r>
                  <w:proofErr w:type="gramStart"/>
                  <w:r w:rsidR="004636F7" w:rsidRPr="00A36FF6">
                    <w:rPr>
                      <w:iCs/>
                    </w:rPr>
                    <w:t>policy</w:t>
                  </w:r>
                  <w:r w:rsidR="00BB6928" w:rsidRPr="00A36FF6">
                    <w:rPr>
                      <w:iCs/>
                    </w:rPr>
                    <w:t xml:space="preserve"> </w:t>
                  </w:r>
                  <w:r w:rsidR="000D5D0F" w:rsidRPr="00A36FF6">
                    <w:rPr>
                      <w:iCs/>
                    </w:rPr>
                    <w:t>which</w:t>
                  </w:r>
                  <w:proofErr w:type="gramEnd"/>
                  <w:r w:rsidR="000D5D0F" w:rsidRPr="00A36FF6">
                    <w:rPr>
                      <w:iCs/>
                    </w:rPr>
                    <w:t xml:space="preserve"> includes </w:t>
                  </w:r>
                  <w:r w:rsidR="00BB6928" w:rsidRPr="00A36FF6">
                    <w:rPr>
                      <w:iCs/>
                    </w:rPr>
                    <w:t>predefined</w:t>
                  </w:r>
                  <w:r w:rsidR="004B2DF6" w:rsidRPr="00A36FF6">
                    <w:rPr>
                      <w:iCs/>
                    </w:rPr>
                    <w:t xml:space="preserve"> criteria </w:t>
                  </w:r>
                  <w:r w:rsidR="00D23320" w:rsidRPr="00A36FF6">
                    <w:rPr>
                      <w:iCs/>
                    </w:rPr>
                    <w:t>to</w:t>
                  </w:r>
                  <w:r w:rsidR="00BB6928" w:rsidRPr="00A36FF6">
                    <w:rPr>
                      <w:iCs/>
                    </w:rPr>
                    <w:t xml:space="preserve"> be used to </w:t>
                  </w:r>
                  <w:r w:rsidR="004636F7" w:rsidRPr="00A36FF6">
                    <w:rPr>
                      <w:iCs/>
                    </w:rPr>
                    <w:t>pre-screen</w:t>
                  </w:r>
                  <w:r w:rsidR="00BB6928" w:rsidRPr="00A36FF6">
                    <w:rPr>
                      <w:iCs/>
                    </w:rPr>
                    <w:t xml:space="preserve"> potential Fintech/Agritech companies</w:t>
                  </w:r>
                  <w:r w:rsidR="002528C8">
                    <w:rPr>
                      <w:iCs/>
                    </w:rPr>
                    <w:t xml:space="preserve"> and proposed technologies</w:t>
                  </w:r>
                  <w:r w:rsidR="00BB6928" w:rsidRPr="00A36FF6">
                    <w:rPr>
                      <w:iCs/>
                    </w:rPr>
                    <w:t xml:space="preserve">. </w:t>
                  </w:r>
                  <w:r w:rsidR="004636F7" w:rsidRPr="00A36FF6">
                    <w:rPr>
                      <w:iCs/>
                    </w:rPr>
                    <w:t>Th</w:t>
                  </w:r>
                  <w:r w:rsidR="00B43569" w:rsidRPr="00A36FF6">
                    <w:rPr>
                      <w:iCs/>
                    </w:rPr>
                    <w:t xml:space="preserve">is policy </w:t>
                  </w:r>
                  <w:proofErr w:type="gramStart"/>
                  <w:r w:rsidR="00B43569" w:rsidRPr="00A36FF6">
                    <w:rPr>
                      <w:iCs/>
                    </w:rPr>
                    <w:t xml:space="preserve">will be </w:t>
                  </w:r>
                  <w:r w:rsidR="004636F7" w:rsidRPr="00A36FF6">
                    <w:rPr>
                      <w:iCs/>
                    </w:rPr>
                    <w:t>translated</w:t>
                  </w:r>
                  <w:proofErr w:type="gramEnd"/>
                  <w:r w:rsidR="004636F7" w:rsidRPr="00A36FF6">
                    <w:rPr>
                      <w:iCs/>
                    </w:rPr>
                    <w:t xml:space="preserve"> into </w:t>
                  </w:r>
                  <w:r w:rsidR="00BB6928" w:rsidRPr="00A36FF6">
                    <w:rPr>
                      <w:iCs/>
                    </w:rPr>
                    <w:t xml:space="preserve">a </w:t>
                  </w:r>
                  <w:r w:rsidR="00D23320" w:rsidRPr="00A36FF6">
                    <w:rPr>
                      <w:iCs/>
                    </w:rPr>
                    <w:t xml:space="preserve">financing </w:t>
                  </w:r>
                  <w:r w:rsidR="00BB6928" w:rsidRPr="00A36FF6">
                    <w:rPr>
                      <w:iCs/>
                    </w:rPr>
                    <w:t xml:space="preserve">process </w:t>
                  </w:r>
                  <w:r w:rsidR="00B43569" w:rsidRPr="00A36FF6">
                    <w:rPr>
                      <w:iCs/>
                    </w:rPr>
                    <w:t>that govern</w:t>
                  </w:r>
                  <w:r w:rsidR="00BB6928" w:rsidRPr="00A36FF6">
                    <w:rPr>
                      <w:iCs/>
                    </w:rPr>
                    <w:t>s</w:t>
                  </w:r>
                  <w:r w:rsidR="00B43569" w:rsidRPr="00A36FF6">
                    <w:rPr>
                      <w:iCs/>
                    </w:rPr>
                    <w:t xml:space="preserve"> the behaviour of the grantee in a way to remain faithful to the key principles of the </w:t>
                  </w:r>
                  <w:r w:rsidR="00BB6928" w:rsidRPr="00A36FF6">
                    <w:rPr>
                      <w:iCs/>
                    </w:rPr>
                    <w:t xml:space="preserve">selection </w:t>
                  </w:r>
                  <w:r w:rsidR="00B43569" w:rsidRPr="00A36FF6">
                    <w:rPr>
                      <w:iCs/>
                    </w:rPr>
                    <w:t xml:space="preserve">policy. </w:t>
                  </w:r>
                  <w:r w:rsidR="00C73BA8" w:rsidRPr="00A36FF6">
                    <w:rPr>
                      <w:iCs/>
                    </w:rPr>
                    <w:t>These guidelines</w:t>
                  </w:r>
                  <w:r w:rsidR="00B43569" w:rsidRPr="00A36FF6">
                    <w:rPr>
                      <w:iCs/>
                    </w:rPr>
                    <w:t xml:space="preserve"> will help the grantee in making good decisions to select good companies that are capable to offer </w:t>
                  </w:r>
                  <w:r w:rsidR="00D23320" w:rsidRPr="00A36FF6">
                    <w:rPr>
                      <w:iCs/>
                    </w:rPr>
                    <w:t xml:space="preserve">the </w:t>
                  </w:r>
                  <w:r w:rsidR="00B43569" w:rsidRPr="00A36FF6">
                    <w:rPr>
                      <w:iCs/>
                    </w:rPr>
                    <w:t xml:space="preserve">appropriate services to </w:t>
                  </w:r>
                  <w:r w:rsidR="00D23320" w:rsidRPr="00A36FF6">
                    <w:rPr>
                      <w:iCs/>
                    </w:rPr>
                    <w:t>IFAD</w:t>
                  </w:r>
                  <w:r w:rsidR="00B43569" w:rsidRPr="00A36FF6">
                    <w:rPr>
                      <w:iCs/>
                    </w:rPr>
                    <w:t xml:space="preserve"> target beneficiaries. </w:t>
                  </w:r>
                </w:p>
                <w:p w14:paraId="33366A57" w14:textId="77777777" w:rsidR="007B2989" w:rsidRPr="00A36FF6" w:rsidRDefault="007B2989" w:rsidP="00905512">
                  <w:pPr>
                    <w:jc w:val="both"/>
                    <w:rPr>
                      <w:iCs/>
                    </w:rPr>
                  </w:pPr>
                  <w:r w:rsidRPr="00A36FF6">
                    <w:rPr>
                      <w:b/>
                      <w:bCs/>
                      <w:iCs/>
                    </w:rPr>
                    <w:t xml:space="preserve">Component 2: </w:t>
                  </w:r>
                  <w:r w:rsidR="000D5D0F" w:rsidRPr="00A36FF6">
                    <w:rPr>
                      <w:b/>
                      <w:bCs/>
                      <w:iCs/>
                    </w:rPr>
                    <w:t xml:space="preserve">Mainstreaming </w:t>
                  </w:r>
                  <w:r w:rsidRPr="00A36FF6">
                    <w:rPr>
                      <w:b/>
                      <w:bCs/>
                      <w:iCs/>
                    </w:rPr>
                    <w:t>Phase</w:t>
                  </w:r>
                  <w:r w:rsidRPr="00A36FF6">
                    <w:rPr>
                      <w:iCs/>
                    </w:rPr>
                    <w:t xml:space="preserve">. </w:t>
                  </w:r>
                  <w:r w:rsidR="004B2DF6" w:rsidRPr="00A36FF6">
                    <w:rPr>
                      <w:iCs/>
                    </w:rPr>
                    <w:t xml:space="preserve">Once companies </w:t>
                  </w:r>
                  <w:r w:rsidRPr="00A36FF6">
                    <w:rPr>
                      <w:iCs/>
                    </w:rPr>
                    <w:t>have been identified</w:t>
                  </w:r>
                  <w:r w:rsidR="0006432D" w:rsidRPr="00A36FF6">
                    <w:rPr>
                      <w:iCs/>
                    </w:rPr>
                    <w:t xml:space="preserve"> </w:t>
                  </w:r>
                  <w:r w:rsidR="004B2DF6" w:rsidRPr="00A36FF6">
                    <w:rPr>
                      <w:iCs/>
                    </w:rPr>
                    <w:t>using the selection policy</w:t>
                  </w:r>
                  <w:r w:rsidRPr="00A36FF6">
                    <w:rPr>
                      <w:iCs/>
                    </w:rPr>
                    <w:t xml:space="preserve">, the grantee will invite them to </w:t>
                  </w:r>
                  <w:r w:rsidR="00905512">
                    <w:rPr>
                      <w:iCs/>
                    </w:rPr>
                    <w:t xml:space="preserve">compete and </w:t>
                  </w:r>
                  <w:r w:rsidRPr="00A36FF6">
                    <w:rPr>
                      <w:iCs/>
                    </w:rPr>
                    <w:t xml:space="preserve">present a proposal on how to link </w:t>
                  </w:r>
                  <w:r w:rsidR="00046CA7" w:rsidRPr="00A36FF6">
                    <w:rPr>
                      <w:iCs/>
                    </w:rPr>
                    <w:t xml:space="preserve">with </w:t>
                  </w:r>
                  <w:r w:rsidRPr="00A36FF6">
                    <w:rPr>
                      <w:iCs/>
                    </w:rPr>
                    <w:t>IFAD target groups to offer their services. The grantee will conduct a proper due diligence process to assess their business model and their value proposition</w:t>
                  </w:r>
                  <w:r w:rsidR="004B2DF6" w:rsidRPr="00A36FF6">
                    <w:rPr>
                      <w:iCs/>
                    </w:rPr>
                    <w:t xml:space="preserve">. Companies that fit best the selection criteria, have </w:t>
                  </w:r>
                  <w:r w:rsidR="00905512">
                    <w:rPr>
                      <w:iCs/>
                    </w:rPr>
                    <w:t xml:space="preserve">the best </w:t>
                  </w:r>
                  <w:r w:rsidR="004B2DF6" w:rsidRPr="00A36FF6">
                    <w:rPr>
                      <w:iCs/>
                    </w:rPr>
                    <w:t>proposal</w:t>
                  </w:r>
                  <w:r w:rsidR="00905512">
                    <w:rPr>
                      <w:iCs/>
                    </w:rPr>
                    <w:t>s</w:t>
                  </w:r>
                  <w:r w:rsidR="0006432D" w:rsidRPr="00A36FF6">
                    <w:rPr>
                      <w:iCs/>
                    </w:rPr>
                    <w:t xml:space="preserve">, </w:t>
                  </w:r>
                  <w:r w:rsidR="004B2DF6" w:rsidRPr="00A36FF6">
                    <w:rPr>
                      <w:iCs/>
                    </w:rPr>
                    <w:t xml:space="preserve">and the potential to offer a good service will be </w:t>
                  </w:r>
                  <w:r w:rsidRPr="00A36FF6">
                    <w:rPr>
                      <w:iCs/>
                    </w:rPr>
                    <w:t>select</w:t>
                  </w:r>
                  <w:r w:rsidR="004B2DF6" w:rsidRPr="00A36FF6">
                    <w:rPr>
                      <w:iCs/>
                    </w:rPr>
                    <w:t>ed</w:t>
                  </w:r>
                  <w:r w:rsidR="0006432D" w:rsidRPr="00A36FF6">
                    <w:rPr>
                      <w:iCs/>
                    </w:rPr>
                    <w:t xml:space="preserve"> for financing</w:t>
                  </w:r>
                  <w:r w:rsidR="00D23320" w:rsidRPr="00A36FF6">
                    <w:rPr>
                      <w:iCs/>
                    </w:rPr>
                    <w:t xml:space="preserve"> up to USD 250 000</w:t>
                  </w:r>
                  <w:r w:rsidR="00D23320" w:rsidRPr="00A36FF6">
                    <w:rPr>
                      <w:rStyle w:val="FootnoteReference"/>
                      <w:iCs/>
                    </w:rPr>
                    <w:footnoteReference w:id="6"/>
                  </w:r>
                  <w:r w:rsidR="004B2DF6" w:rsidRPr="00A36FF6">
                    <w:rPr>
                      <w:iCs/>
                    </w:rPr>
                    <w:t xml:space="preserve">. In this phase, the grantee will play a key role in </w:t>
                  </w:r>
                  <w:r w:rsidR="0006432D" w:rsidRPr="00A36FF6">
                    <w:rPr>
                      <w:iCs/>
                    </w:rPr>
                    <w:t xml:space="preserve">supporting </w:t>
                  </w:r>
                  <w:r w:rsidR="004B2DF6" w:rsidRPr="00A36FF6">
                    <w:rPr>
                      <w:iCs/>
                    </w:rPr>
                    <w:t xml:space="preserve">Fintech/Agritech companies </w:t>
                  </w:r>
                  <w:r w:rsidR="0006432D" w:rsidRPr="00A36FF6">
                    <w:rPr>
                      <w:iCs/>
                    </w:rPr>
                    <w:t xml:space="preserve">to </w:t>
                  </w:r>
                  <w:r w:rsidR="00046CA7" w:rsidRPr="00A36FF6">
                    <w:rPr>
                      <w:iCs/>
                    </w:rPr>
                    <w:t xml:space="preserve">customize their business models and </w:t>
                  </w:r>
                  <w:r w:rsidR="0006432D" w:rsidRPr="00A36FF6">
                    <w:rPr>
                      <w:iCs/>
                    </w:rPr>
                    <w:t>start providing</w:t>
                  </w:r>
                  <w:r w:rsidR="00046CA7" w:rsidRPr="00A36FF6">
                    <w:rPr>
                      <w:iCs/>
                    </w:rPr>
                    <w:t xml:space="preserve"> new </w:t>
                  </w:r>
                  <w:r w:rsidR="0006432D" w:rsidRPr="00A36FF6">
                    <w:rPr>
                      <w:iCs/>
                    </w:rPr>
                    <w:t xml:space="preserve">services to </w:t>
                  </w:r>
                  <w:r w:rsidR="004B2DF6" w:rsidRPr="00A36FF6">
                    <w:rPr>
                      <w:iCs/>
                    </w:rPr>
                    <w:t>POs</w:t>
                  </w:r>
                  <w:r w:rsidR="0006432D" w:rsidRPr="00A36FF6">
                    <w:rPr>
                      <w:iCs/>
                    </w:rPr>
                    <w:t xml:space="preserve"> </w:t>
                  </w:r>
                  <w:r w:rsidR="00046CA7" w:rsidRPr="00A36FF6">
                    <w:rPr>
                      <w:iCs/>
                    </w:rPr>
                    <w:t>within IFAD portfolio of loans (</w:t>
                  </w:r>
                  <w:r w:rsidR="004B2DF6" w:rsidRPr="00A36FF6">
                    <w:rPr>
                      <w:iCs/>
                    </w:rPr>
                    <w:t xml:space="preserve">unlock new markets as well as </w:t>
                  </w:r>
                  <w:r w:rsidR="0006432D" w:rsidRPr="00A36FF6">
                    <w:rPr>
                      <w:iCs/>
                    </w:rPr>
                    <w:t xml:space="preserve">new </w:t>
                  </w:r>
                  <w:r w:rsidR="004B2DF6" w:rsidRPr="00A36FF6">
                    <w:rPr>
                      <w:iCs/>
                    </w:rPr>
                    <w:t>financial</w:t>
                  </w:r>
                  <w:r w:rsidR="0006432D" w:rsidRPr="00A36FF6">
                    <w:rPr>
                      <w:iCs/>
                    </w:rPr>
                    <w:t>/non-financial</w:t>
                  </w:r>
                  <w:r w:rsidR="004B2DF6" w:rsidRPr="00A36FF6">
                    <w:rPr>
                      <w:iCs/>
                    </w:rPr>
                    <w:t xml:space="preserve"> services to smallholders</w:t>
                  </w:r>
                  <w:r w:rsidR="00046CA7" w:rsidRPr="00A36FF6">
                    <w:rPr>
                      <w:iCs/>
                    </w:rPr>
                    <w:t>)</w:t>
                  </w:r>
                  <w:r w:rsidR="0006432D" w:rsidRPr="00A36FF6">
                    <w:rPr>
                      <w:iCs/>
                    </w:rPr>
                    <w:t>.</w:t>
                  </w:r>
                  <w:r w:rsidR="004B2DF6" w:rsidRPr="00A36FF6">
                    <w:rPr>
                      <w:iCs/>
                    </w:rPr>
                    <w:t xml:space="preserve"> The </w:t>
                  </w:r>
                  <w:r w:rsidRPr="00A36FF6">
                    <w:rPr>
                      <w:iCs/>
                    </w:rPr>
                    <w:t xml:space="preserve">grantee will finance </w:t>
                  </w:r>
                  <w:r w:rsidR="00046CA7" w:rsidRPr="00A36FF6">
                    <w:rPr>
                      <w:iCs/>
                    </w:rPr>
                    <w:t xml:space="preserve">all </w:t>
                  </w:r>
                  <w:r w:rsidR="00B44FDA" w:rsidRPr="00A36FF6">
                    <w:rPr>
                      <w:iCs/>
                    </w:rPr>
                    <w:t xml:space="preserve">the </w:t>
                  </w:r>
                  <w:r w:rsidR="00046CA7" w:rsidRPr="00A36FF6">
                    <w:rPr>
                      <w:iCs/>
                    </w:rPr>
                    <w:t>activities</w:t>
                  </w:r>
                  <w:r w:rsidR="00B44FDA" w:rsidRPr="00A36FF6">
                    <w:rPr>
                      <w:iCs/>
                    </w:rPr>
                    <w:t xml:space="preserve"> of the mainstreaming phase</w:t>
                  </w:r>
                  <w:r w:rsidR="00602F6B" w:rsidRPr="00A36FF6">
                    <w:rPr>
                      <w:iCs/>
                    </w:rPr>
                    <w:t xml:space="preserve">, and will provide technical support to the Fintech/Agritech companies during the entire process </w:t>
                  </w:r>
                  <w:r w:rsidR="00B44FDA" w:rsidRPr="00A36FF6">
                    <w:rPr>
                      <w:iCs/>
                    </w:rPr>
                    <w:t xml:space="preserve">of mainstreaming </w:t>
                  </w:r>
                  <w:r w:rsidR="00602F6B" w:rsidRPr="00A36FF6">
                    <w:rPr>
                      <w:iCs/>
                    </w:rPr>
                    <w:t>until successfully deploy</w:t>
                  </w:r>
                  <w:r w:rsidR="00B44FDA" w:rsidRPr="00A36FF6">
                    <w:rPr>
                      <w:iCs/>
                    </w:rPr>
                    <w:t>ed</w:t>
                  </w:r>
                  <w:r w:rsidR="00602F6B" w:rsidRPr="00A36FF6">
                    <w:rPr>
                      <w:iCs/>
                    </w:rPr>
                    <w:t xml:space="preserve"> the new services. </w:t>
                  </w:r>
                </w:p>
                <w:p w14:paraId="33366A58" w14:textId="77777777" w:rsidR="007B2989" w:rsidRPr="00A36FF6" w:rsidRDefault="007B2989" w:rsidP="0033126F">
                  <w:pPr>
                    <w:jc w:val="both"/>
                    <w:rPr>
                      <w:iCs/>
                    </w:rPr>
                  </w:pPr>
                  <w:r w:rsidRPr="00A36FF6">
                    <w:rPr>
                      <w:b/>
                      <w:bCs/>
                      <w:iCs/>
                    </w:rPr>
                    <w:t>Component 3: Scaling up Phase.</w:t>
                  </w:r>
                  <w:r w:rsidRPr="00A36FF6">
                    <w:rPr>
                      <w:iCs/>
                    </w:rPr>
                    <w:t xml:space="preserve"> In this </w:t>
                  </w:r>
                  <w:r w:rsidR="0033126F">
                    <w:rPr>
                      <w:iCs/>
                    </w:rPr>
                    <w:t>phase</w:t>
                  </w:r>
                  <w:r w:rsidRPr="00A36FF6">
                    <w:rPr>
                      <w:iCs/>
                    </w:rPr>
                    <w:t>, the grant se</w:t>
                  </w:r>
                  <w:r w:rsidR="00B44FDA" w:rsidRPr="00A36FF6">
                    <w:rPr>
                      <w:iCs/>
                    </w:rPr>
                    <w:t xml:space="preserve">eks to escalate the best models, technologies or applications to other IFAD projects. </w:t>
                  </w:r>
                  <w:r w:rsidRPr="00A36FF6">
                    <w:rPr>
                      <w:iCs/>
                    </w:rPr>
                    <w:t xml:space="preserve">Thus, the grantee will </w:t>
                  </w:r>
                  <w:r w:rsidR="00427AE4">
                    <w:rPr>
                      <w:iCs/>
                    </w:rPr>
                    <w:t xml:space="preserve">act as a broker and </w:t>
                  </w:r>
                  <w:r w:rsidRPr="00A36FF6">
                    <w:rPr>
                      <w:iCs/>
                    </w:rPr>
                    <w:t xml:space="preserve">help these companies to </w:t>
                  </w:r>
                  <w:r w:rsidR="00563956" w:rsidRPr="00A36FF6">
                    <w:rPr>
                      <w:color w:val="000000"/>
                    </w:rPr>
                    <w:t>identify potential bridge funding from donors or social impact investors (</w:t>
                  </w:r>
                  <w:r w:rsidR="00563956" w:rsidRPr="00A36FF6">
                    <w:rPr>
                      <w:iCs/>
                    </w:rPr>
                    <w:t>t</w:t>
                  </w:r>
                  <w:r w:rsidR="00B44FDA" w:rsidRPr="00A36FF6">
                    <w:rPr>
                      <w:iCs/>
                    </w:rPr>
                    <w:t xml:space="preserve">hird party </w:t>
                  </w:r>
                  <w:r w:rsidR="00563956" w:rsidRPr="00A36FF6">
                    <w:rPr>
                      <w:iCs/>
                    </w:rPr>
                    <w:t xml:space="preserve">financier) </w:t>
                  </w:r>
                  <w:r w:rsidRPr="00A36FF6">
                    <w:rPr>
                      <w:iCs/>
                    </w:rPr>
                    <w:t>to scale up their operations to other IFAD projects in the country or in other countries</w:t>
                  </w:r>
                  <w:r w:rsidR="00427AE4">
                    <w:rPr>
                      <w:iCs/>
                    </w:rPr>
                    <w:t xml:space="preserve"> in LAC</w:t>
                  </w:r>
                  <w:r w:rsidRPr="00A36FF6">
                    <w:rPr>
                      <w:iCs/>
                    </w:rPr>
                    <w:t xml:space="preserve">. </w:t>
                  </w:r>
                  <w:r w:rsidRPr="00A36FF6">
                    <w:rPr>
                      <w:iCs/>
                    </w:rPr>
                    <w:lastRenderedPageBreak/>
                    <w:t>Ideally, the selected SME will obtain financ</w:t>
                  </w:r>
                  <w:r w:rsidR="00B44FDA" w:rsidRPr="00A36FF6">
                    <w:rPr>
                      <w:iCs/>
                    </w:rPr>
                    <w:t xml:space="preserve">ing </w:t>
                  </w:r>
                  <w:r w:rsidRPr="00A36FF6">
                    <w:rPr>
                      <w:iCs/>
                    </w:rPr>
                    <w:t>either from the ABC fund</w:t>
                  </w:r>
                  <w:r w:rsidR="00B44FDA" w:rsidRPr="00A36FF6">
                    <w:rPr>
                      <w:iCs/>
                    </w:rPr>
                    <w:t>, or from another F</w:t>
                  </w:r>
                  <w:r w:rsidRPr="00A36FF6">
                    <w:rPr>
                      <w:iCs/>
                    </w:rPr>
                    <w:t>intech</w:t>
                  </w:r>
                  <w:r w:rsidR="00B44FDA" w:rsidRPr="00A36FF6">
                    <w:rPr>
                      <w:iCs/>
                    </w:rPr>
                    <w:t xml:space="preserve">/Agritech </w:t>
                  </w:r>
                  <w:r w:rsidRPr="00A36FF6">
                    <w:rPr>
                      <w:iCs/>
                    </w:rPr>
                    <w:t>investment fund in the region</w:t>
                  </w:r>
                  <w:r w:rsidR="00B44FDA" w:rsidRPr="00A36FF6">
                    <w:rPr>
                      <w:iCs/>
                    </w:rPr>
                    <w:t>, or from IFAD future window for private sector investments</w:t>
                  </w:r>
                  <w:r w:rsidRPr="00A36FF6">
                    <w:rPr>
                      <w:iCs/>
                    </w:rPr>
                    <w:t>.</w:t>
                  </w:r>
                </w:p>
                <w:p w14:paraId="33366A59" w14:textId="77777777" w:rsidR="00A33E7A" w:rsidRPr="00A36FF6" w:rsidRDefault="007B2989" w:rsidP="00905512">
                  <w:pPr>
                    <w:jc w:val="both"/>
                    <w:rPr>
                      <w:iCs/>
                    </w:rPr>
                  </w:pPr>
                  <w:r w:rsidRPr="00A36FF6">
                    <w:rPr>
                      <w:b/>
                      <w:bCs/>
                      <w:iCs/>
                    </w:rPr>
                    <w:t>Component 4: M&amp;E and KM</w:t>
                  </w:r>
                  <w:r w:rsidRPr="00A36FF6">
                    <w:rPr>
                      <w:iCs/>
                    </w:rPr>
                    <w:t xml:space="preserve">. The project </w:t>
                  </w:r>
                  <w:proofErr w:type="gramStart"/>
                  <w:r w:rsidRPr="00A36FF6">
                    <w:rPr>
                      <w:iCs/>
                    </w:rPr>
                    <w:t>will be monitored</w:t>
                  </w:r>
                  <w:proofErr w:type="gramEnd"/>
                  <w:r w:rsidRPr="00A36FF6">
                    <w:rPr>
                      <w:iCs/>
                    </w:rPr>
                    <w:t xml:space="preserve"> regularly</w:t>
                  </w:r>
                  <w:r w:rsidR="00B44FDA" w:rsidRPr="00A36FF6">
                    <w:rPr>
                      <w:iCs/>
                    </w:rPr>
                    <w:t xml:space="preserve">, </w:t>
                  </w:r>
                  <w:r w:rsidRPr="00A36FF6">
                    <w:rPr>
                      <w:iCs/>
                    </w:rPr>
                    <w:t>and</w:t>
                  </w:r>
                  <w:r w:rsidR="00B44FDA" w:rsidRPr="00A36FF6">
                    <w:rPr>
                      <w:iCs/>
                    </w:rPr>
                    <w:t xml:space="preserve"> </w:t>
                  </w:r>
                  <w:r w:rsidRPr="00A36FF6">
                    <w:rPr>
                      <w:iCs/>
                    </w:rPr>
                    <w:t>at the end</w:t>
                  </w:r>
                  <w:r w:rsidR="00B44FDA" w:rsidRPr="00A36FF6">
                    <w:rPr>
                      <w:iCs/>
                    </w:rPr>
                    <w:t xml:space="preserve">, a </w:t>
                  </w:r>
                  <w:r w:rsidRPr="00A36FF6">
                    <w:rPr>
                      <w:iCs/>
                    </w:rPr>
                    <w:t xml:space="preserve">full </w:t>
                  </w:r>
                  <w:r w:rsidR="00CE19B8">
                    <w:rPr>
                      <w:iCs/>
                    </w:rPr>
                    <w:t xml:space="preserve">internal </w:t>
                  </w:r>
                  <w:r w:rsidRPr="00A36FF6">
                    <w:rPr>
                      <w:iCs/>
                    </w:rPr>
                    <w:t>evaluation will be conducted. This component will also incorporate elements of knowledge management</w:t>
                  </w:r>
                  <w:r w:rsidR="00CE19B8">
                    <w:rPr>
                      <w:iCs/>
                    </w:rPr>
                    <w:t xml:space="preserve"> such as a document on h</w:t>
                  </w:r>
                  <w:r w:rsidR="00CE19B8">
                    <w:t xml:space="preserve">ow to scale up technologies in development projects. It will also </w:t>
                  </w:r>
                  <w:r w:rsidRPr="00A36FF6">
                    <w:rPr>
                      <w:iCs/>
                    </w:rPr>
                    <w:t>extract lesson</w:t>
                  </w:r>
                  <w:r w:rsidR="00CE19B8">
                    <w:rPr>
                      <w:iCs/>
                    </w:rPr>
                    <w:t>s</w:t>
                  </w:r>
                  <w:r w:rsidRPr="00A36FF6">
                    <w:rPr>
                      <w:iCs/>
                    </w:rPr>
                    <w:t xml:space="preserve"> and practical information on</w:t>
                  </w:r>
                  <w:r w:rsidR="00CE19B8">
                    <w:rPr>
                      <w:iCs/>
                    </w:rPr>
                    <w:t xml:space="preserve"> the use </w:t>
                  </w:r>
                  <w:r w:rsidRPr="00A36FF6">
                    <w:rPr>
                      <w:iCs/>
                    </w:rPr>
                    <w:t>mobile applications for e-commerce, remote commerce, mobile banking, mobile payments, supermarket orders, p</w:t>
                  </w:r>
                  <w:r w:rsidR="00CE19B8">
                    <w:rPr>
                      <w:iCs/>
                    </w:rPr>
                    <w:t xml:space="preserve">roduction input procurement, as well as </w:t>
                  </w:r>
                  <w:r w:rsidR="00CE19B8">
                    <w:t xml:space="preserve">mechanism to reach/benefit smallholders </w:t>
                  </w:r>
                  <w:r w:rsidR="00CE19B8">
                    <w:rPr>
                      <w:iCs/>
                    </w:rPr>
                    <w:t>within IFAD projects</w:t>
                  </w:r>
                  <w:r w:rsidRPr="00A36FF6">
                    <w:rPr>
                      <w:iCs/>
                    </w:rPr>
                    <w:t>.</w:t>
                  </w:r>
                  <w:r w:rsidR="00CE19B8">
                    <w:rPr>
                      <w:iCs/>
                    </w:rPr>
                    <w:t xml:space="preserve"> </w:t>
                  </w:r>
                  <w:r w:rsidR="00A33E7A">
                    <w:t xml:space="preserve">The SSTC and KM </w:t>
                  </w:r>
                  <w:r w:rsidR="00905512">
                    <w:t>centre</w:t>
                  </w:r>
                  <w:r w:rsidR="00A33E7A">
                    <w:t xml:space="preserve"> would be involved to seek their support to identify both opportunities to share knowledge in the region as well as to share knowledge among </w:t>
                  </w:r>
                  <w:proofErr w:type="gramStart"/>
                  <w:r w:rsidR="00A33E7A">
                    <w:t>regions</w:t>
                  </w:r>
                  <w:r w:rsidR="00905512">
                    <w:t xml:space="preserve"> .</w:t>
                  </w:r>
                  <w:proofErr w:type="gramEnd"/>
                </w:p>
              </w:tc>
            </w:tr>
            <w:tr w:rsidR="007143ED" w:rsidRPr="00A36FF6" w14:paraId="33366A98" w14:textId="77777777" w:rsidTr="00905512">
              <w:trPr>
                <w:trHeight w:val="3384"/>
              </w:trPr>
              <w:tc>
                <w:tcPr>
                  <w:tcW w:w="9385" w:type="dxa"/>
                  <w:gridSpan w:val="2"/>
                </w:tcPr>
                <w:p w14:paraId="33366A5B" w14:textId="77777777" w:rsidR="00AC7242" w:rsidRPr="00A36FF6" w:rsidRDefault="00020753" w:rsidP="000D5D0F">
                  <w:pPr>
                    <w:pStyle w:val="ListParagraph"/>
                    <w:ind w:left="0"/>
                    <w:contextualSpacing w:val="0"/>
                    <w:rPr>
                      <w:i/>
                      <w:iCs/>
                    </w:rPr>
                  </w:pPr>
                  <w:r w:rsidRPr="00A36FF6">
                    <w:rPr>
                      <w:b/>
                      <w:bCs/>
                    </w:rPr>
                    <w:lastRenderedPageBreak/>
                    <w:t>1</w:t>
                  </w:r>
                  <w:r w:rsidR="009E7B9B" w:rsidRPr="00A36FF6">
                    <w:rPr>
                      <w:b/>
                      <w:bCs/>
                    </w:rPr>
                    <w:t>7</w:t>
                  </w:r>
                  <w:r w:rsidRPr="00A36FF6">
                    <w:rPr>
                      <w:b/>
                      <w:bCs/>
                    </w:rPr>
                    <w:t xml:space="preserve">. </w:t>
                  </w:r>
                  <w:r w:rsidR="007143ED" w:rsidRPr="00A36FF6">
                    <w:rPr>
                      <w:b/>
                      <w:bCs/>
                    </w:rPr>
                    <w:t xml:space="preserve">Project cost: </w:t>
                  </w:r>
                  <w:r w:rsidR="000D5D0F" w:rsidRPr="00A36FF6">
                    <w:rPr>
                      <w:iCs/>
                    </w:rPr>
                    <w:t xml:space="preserve">The budget for the proposed grant </w:t>
                  </w:r>
                  <w:proofErr w:type="gramStart"/>
                  <w:r w:rsidR="000D5D0F" w:rsidRPr="00A36FF6">
                    <w:rPr>
                      <w:iCs/>
                    </w:rPr>
                    <w:t>is estimated</w:t>
                  </w:r>
                  <w:proofErr w:type="gramEnd"/>
                  <w:r w:rsidR="000D5D0F" w:rsidRPr="00A36FF6">
                    <w:rPr>
                      <w:iCs/>
                    </w:rPr>
                    <w:t xml:space="preserve"> for three years. Table A below shows a breakdown of estimated expense to support activities described in </w:t>
                  </w:r>
                  <w:r w:rsidR="000D5D0F" w:rsidRPr="00A36FF6">
                    <w:rPr>
                      <w:i/>
                    </w:rPr>
                    <w:t>Section 16: Key activities by components</w:t>
                  </w:r>
                  <w:r w:rsidR="000D5D0F" w:rsidRPr="00A36FF6">
                    <w:rPr>
                      <w:iCs/>
                    </w:rPr>
                    <w:t>.</w:t>
                  </w:r>
                </w:p>
                <w:p w14:paraId="33366A5C" w14:textId="77777777" w:rsidR="00F17636" w:rsidRDefault="00F17636" w:rsidP="000D5D0F">
                  <w:pPr>
                    <w:pStyle w:val="ListParagraph"/>
                    <w:ind w:left="0"/>
                    <w:contextualSpacing w:val="0"/>
                    <w:rPr>
                      <w:b/>
                      <w:bCs/>
                      <w:iCs/>
                      <w:sz w:val="20"/>
                      <w:szCs w:val="20"/>
                    </w:rPr>
                  </w:pPr>
                  <w:bookmarkStart w:id="1" w:name="_Toc490662064"/>
                </w:p>
                <w:p w14:paraId="33366A5D" w14:textId="77777777" w:rsidR="000D5D0F" w:rsidRDefault="000D5D0F" w:rsidP="000D5D0F">
                  <w:pPr>
                    <w:pStyle w:val="ListParagraph"/>
                    <w:ind w:left="0"/>
                    <w:contextualSpacing w:val="0"/>
                    <w:rPr>
                      <w:b/>
                      <w:bCs/>
                      <w:iCs/>
                      <w:sz w:val="20"/>
                      <w:szCs w:val="20"/>
                    </w:rPr>
                  </w:pPr>
                  <w:r w:rsidRPr="00F17636">
                    <w:rPr>
                      <w:b/>
                      <w:bCs/>
                      <w:iCs/>
                      <w:sz w:val="20"/>
                      <w:szCs w:val="20"/>
                    </w:rPr>
                    <w:t>Table 1: Cost by Component</w:t>
                  </w:r>
                  <w:bookmarkEnd w:id="1"/>
                </w:p>
                <w:tbl>
                  <w:tblPr>
                    <w:tblW w:w="9700" w:type="dxa"/>
                    <w:tblLook w:val="04A0" w:firstRow="1" w:lastRow="0" w:firstColumn="1" w:lastColumn="0" w:noHBand="0" w:noVBand="1"/>
                  </w:tblPr>
                  <w:tblGrid>
                    <w:gridCol w:w="3160"/>
                    <w:gridCol w:w="1060"/>
                    <w:gridCol w:w="1060"/>
                    <w:gridCol w:w="900"/>
                    <w:gridCol w:w="1060"/>
                    <w:gridCol w:w="1340"/>
                    <w:gridCol w:w="1120"/>
                  </w:tblGrid>
                  <w:tr w:rsidR="00905512" w:rsidRPr="00905512" w14:paraId="33366A65" w14:textId="77777777" w:rsidTr="00905512">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66A5E"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33366A5F" w14:textId="77777777" w:rsidR="00905512" w:rsidRPr="00905512" w:rsidRDefault="00905512" w:rsidP="00905512">
                        <w:pPr>
                          <w:spacing w:after="0" w:line="240" w:lineRule="auto"/>
                          <w:jc w:val="center"/>
                          <w:rPr>
                            <w:rFonts w:ascii="Calibri" w:eastAsia="Times New Roman" w:hAnsi="Calibri" w:cs="Times New Roman"/>
                            <w:b/>
                            <w:bCs/>
                            <w:color w:val="000000"/>
                            <w:sz w:val="18"/>
                            <w:szCs w:val="18"/>
                            <w:lang w:eastAsia="en-GB"/>
                          </w:rPr>
                        </w:pPr>
                        <w:r w:rsidRPr="00905512">
                          <w:rPr>
                            <w:rFonts w:ascii="Calibri" w:eastAsia="Times New Roman" w:hAnsi="Calibri" w:cs="Times New Roman"/>
                            <w:b/>
                            <w:bCs/>
                            <w:color w:val="000000"/>
                            <w:sz w:val="18"/>
                            <w:szCs w:val="18"/>
                            <w:lang w:eastAsia="en-GB"/>
                          </w:rPr>
                          <w:t>Year 1</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33366A60" w14:textId="77777777" w:rsidR="00905512" w:rsidRPr="00905512" w:rsidRDefault="00905512" w:rsidP="00905512">
                        <w:pPr>
                          <w:spacing w:after="0" w:line="240" w:lineRule="auto"/>
                          <w:jc w:val="center"/>
                          <w:rPr>
                            <w:rFonts w:ascii="Calibri" w:eastAsia="Times New Roman" w:hAnsi="Calibri" w:cs="Times New Roman"/>
                            <w:b/>
                            <w:bCs/>
                            <w:color w:val="000000"/>
                            <w:sz w:val="18"/>
                            <w:szCs w:val="18"/>
                            <w:lang w:eastAsia="en-GB"/>
                          </w:rPr>
                        </w:pPr>
                        <w:r w:rsidRPr="00905512">
                          <w:rPr>
                            <w:rFonts w:ascii="Calibri" w:eastAsia="Times New Roman" w:hAnsi="Calibri" w:cs="Times New Roman"/>
                            <w:b/>
                            <w:bCs/>
                            <w:color w:val="000000"/>
                            <w:sz w:val="18"/>
                            <w:szCs w:val="18"/>
                            <w:lang w:eastAsia="en-GB"/>
                          </w:rPr>
                          <w:t>Year 2</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3366A61" w14:textId="77777777" w:rsidR="00905512" w:rsidRPr="00905512" w:rsidRDefault="00905512" w:rsidP="00905512">
                        <w:pPr>
                          <w:spacing w:after="0" w:line="240" w:lineRule="auto"/>
                          <w:jc w:val="center"/>
                          <w:rPr>
                            <w:rFonts w:ascii="Calibri" w:eastAsia="Times New Roman" w:hAnsi="Calibri" w:cs="Times New Roman"/>
                            <w:b/>
                            <w:bCs/>
                            <w:color w:val="000000"/>
                            <w:sz w:val="18"/>
                            <w:szCs w:val="18"/>
                            <w:lang w:eastAsia="en-GB"/>
                          </w:rPr>
                        </w:pPr>
                        <w:r w:rsidRPr="00905512">
                          <w:rPr>
                            <w:rFonts w:ascii="Calibri" w:eastAsia="Times New Roman" w:hAnsi="Calibri" w:cs="Times New Roman"/>
                            <w:b/>
                            <w:bCs/>
                            <w:color w:val="000000"/>
                            <w:sz w:val="18"/>
                            <w:szCs w:val="18"/>
                            <w:lang w:eastAsia="en-GB"/>
                          </w:rPr>
                          <w:t>Year 3</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33366A62" w14:textId="77777777" w:rsidR="00905512" w:rsidRPr="00905512" w:rsidRDefault="00905512" w:rsidP="00905512">
                        <w:pPr>
                          <w:spacing w:after="0" w:line="240" w:lineRule="auto"/>
                          <w:jc w:val="center"/>
                          <w:rPr>
                            <w:rFonts w:ascii="Calibri" w:eastAsia="Times New Roman" w:hAnsi="Calibri" w:cs="Times New Roman"/>
                            <w:b/>
                            <w:bCs/>
                            <w:color w:val="000000"/>
                            <w:sz w:val="18"/>
                            <w:szCs w:val="18"/>
                            <w:lang w:eastAsia="en-GB"/>
                          </w:rPr>
                        </w:pPr>
                        <w:r w:rsidRPr="00905512">
                          <w:rPr>
                            <w:rFonts w:ascii="Calibri" w:eastAsia="Times New Roman" w:hAnsi="Calibri" w:cs="Times New Roman"/>
                            <w:b/>
                            <w:bCs/>
                            <w:color w:val="000000"/>
                            <w:sz w:val="18"/>
                            <w:szCs w:val="18"/>
                            <w:lang w:eastAsia="en-GB"/>
                          </w:rPr>
                          <w:t xml:space="preserve">FIDA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3366A63" w14:textId="77777777" w:rsidR="00905512" w:rsidRPr="00905512" w:rsidRDefault="00905512" w:rsidP="00905512">
                        <w:pPr>
                          <w:spacing w:after="0" w:line="240" w:lineRule="auto"/>
                          <w:jc w:val="center"/>
                          <w:rPr>
                            <w:rFonts w:ascii="Calibri" w:eastAsia="Times New Roman" w:hAnsi="Calibri" w:cs="Times New Roman"/>
                            <w:b/>
                            <w:bCs/>
                            <w:color w:val="000000"/>
                            <w:sz w:val="18"/>
                            <w:szCs w:val="18"/>
                            <w:lang w:eastAsia="en-GB"/>
                          </w:rPr>
                        </w:pPr>
                        <w:r w:rsidRPr="00905512">
                          <w:rPr>
                            <w:rFonts w:ascii="Calibri" w:eastAsia="Times New Roman" w:hAnsi="Calibri" w:cs="Times New Roman"/>
                            <w:b/>
                            <w:bCs/>
                            <w:color w:val="000000"/>
                            <w:sz w:val="18"/>
                            <w:szCs w:val="18"/>
                            <w:lang w:eastAsia="en-GB"/>
                          </w:rPr>
                          <w:t>CO-FINANCING</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3366A64" w14:textId="77777777" w:rsidR="00905512" w:rsidRPr="00905512" w:rsidRDefault="00905512" w:rsidP="00905512">
                        <w:pPr>
                          <w:spacing w:after="0" w:line="240" w:lineRule="auto"/>
                          <w:jc w:val="center"/>
                          <w:rPr>
                            <w:rFonts w:ascii="Calibri" w:eastAsia="Times New Roman" w:hAnsi="Calibri" w:cs="Times New Roman"/>
                            <w:b/>
                            <w:bCs/>
                            <w:color w:val="000000"/>
                            <w:sz w:val="18"/>
                            <w:szCs w:val="18"/>
                            <w:lang w:eastAsia="en-GB"/>
                          </w:rPr>
                        </w:pPr>
                        <w:r w:rsidRPr="00905512">
                          <w:rPr>
                            <w:rFonts w:ascii="Calibri" w:eastAsia="Times New Roman" w:hAnsi="Calibri" w:cs="Times New Roman"/>
                            <w:b/>
                            <w:bCs/>
                            <w:color w:val="000000"/>
                            <w:sz w:val="18"/>
                            <w:szCs w:val="18"/>
                            <w:lang w:eastAsia="en-GB"/>
                          </w:rPr>
                          <w:t>TOTAL (USD)</w:t>
                        </w:r>
                      </w:p>
                    </w:tc>
                  </w:tr>
                  <w:tr w:rsidR="00905512" w:rsidRPr="00905512" w14:paraId="33366A6D" w14:textId="77777777" w:rsidTr="00905512">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33366A66"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Component 1: Identification Phase</w:t>
                        </w:r>
                      </w:p>
                    </w:tc>
                    <w:tc>
                      <w:tcPr>
                        <w:tcW w:w="1060" w:type="dxa"/>
                        <w:tcBorders>
                          <w:top w:val="nil"/>
                          <w:left w:val="nil"/>
                          <w:bottom w:val="single" w:sz="4" w:space="0" w:color="auto"/>
                          <w:right w:val="single" w:sz="4" w:space="0" w:color="auto"/>
                        </w:tcBorders>
                        <w:shd w:val="clear" w:color="auto" w:fill="auto"/>
                        <w:noWrap/>
                        <w:vAlign w:val="bottom"/>
                        <w:hideMark/>
                      </w:tcPr>
                      <w:p w14:paraId="33366A67"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 xml:space="preserve">     100 000 </w:t>
                        </w:r>
                      </w:p>
                    </w:tc>
                    <w:tc>
                      <w:tcPr>
                        <w:tcW w:w="1060" w:type="dxa"/>
                        <w:tcBorders>
                          <w:top w:val="nil"/>
                          <w:left w:val="nil"/>
                          <w:bottom w:val="single" w:sz="4" w:space="0" w:color="auto"/>
                          <w:right w:val="single" w:sz="4" w:space="0" w:color="auto"/>
                        </w:tcBorders>
                        <w:shd w:val="clear" w:color="auto" w:fill="auto"/>
                        <w:noWrap/>
                        <w:vAlign w:val="bottom"/>
                        <w:hideMark/>
                      </w:tcPr>
                      <w:p w14:paraId="33366A68"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 xml:space="preserve">     140 000 </w:t>
                        </w:r>
                      </w:p>
                    </w:tc>
                    <w:tc>
                      <w:tcPr>
                        <w:tcW w:w="900" w:type="dxa"/>
                        <w:tcBorders>
                          <w:top w:val="nil"/>
                          <w:left w:val="nil"/>
                          <w:bottom w:val="single" w:sz="4" w:space="0" w:color="auto"/>
                          <w:right w:val="single" w:sz="4" w:space="0" w:color="auto"/>
                        </w:tcBorders>
                        <w:shd w:val="clear" w:color="auto" w:fill="auto"/>
                        <w:noWrap/>
                        <w:vAlign w:val="bottom"/>
                        <w:hideMark/>
                      </w:tcPr>
                      <w:p w14:paraId="33366A69"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33366A6A"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 xml:space="preserve">     240 000 </w:t>
                        </w:r>
                      </w:p>
                    </w:tc>
                    <w:tc>
                      <w:tcPr>
                        <w:tcW w:w="1340" w:type="dxa"/>
                        <w:tcBorders>
                          <w:top w:val="nil"/>
                          <w:left w:val="nil"/>
                          <w:bottom w:val="single" w:sz="4" w:space="0" w:color="auto"/>
                          <w:right w:val="single" w:sz="4" w:space="0" w:color="auto"/>
                        </w:tcBorders>
                        <w:shd w:val="clear" w:color="auto" w:fill="auto"/>
                        <w:noWrap/>
                        <w:vAlign w:val="bottom"/>
                        <w:hideMark/>
                      </w:tcPr>
                      <w:p w14:paraId="33366A6B"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33366A6C"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 xml:space="preserve">       240 000 </w:t>
                        </w:r>
                      </w:p>
                    </w:tc>
                  </w:tr>
                  <w:tr w:rsidR="00905512" w:rsidRPr="00905512" w14:paraId="33366A75" w14:textId="77777777" w:rsidTr="00905512">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33366A6E"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Component 2: Mainstreaming Phase</w:t>
                        </w:r>
                      </w:p>
                    </w:tc>
                    <w:tc>
                      <w:tcPr>
                        <w:tcW w:w="1060" w:type="dxa"/>
                        <w:tcBorders>
                          <w:top w:val="nil"/>
                          <w:left w:val="nil"/>
                          <w:bottom w:val="single" w:sz="4" w:space="0" w:color="auto"/>
                          <w:right w:val="single" w:sz="4" w:space="0" w:color="auto"/>
                        </w:tcBorders>
                        <w:shd w:val="clear" w:color="auto" w:fill="auto"/>
                        <w:noWrap/>
                        <w:vAlign w:val="bottom"/>
                        <w:hideMark/>
                      </w:tcPr>
                      <w:p w14:paraId="33366A6F"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 xml:space="preserve">  1 000 000 </w:t>
                        </w:r>
                      </w:p>
                    </w:tc>
                    <w:tc>
                      <w:tcPr>
                        <w:tcW w:w="1060" w:type="dxa"/>
                        <w:tcBorders>
                          <w:top w:val="nil"/>
                          <w:left w:val="nil"/>
                          <w:bottom w:val="single" w:sz="4" w:space="0" w:color="auto"/>
                          <w:right w:val="single" w:sz="4" w:space="0" w:color="auto"/>
                        </w:tcBorders>
                        <w:shd w:val="clear" w:color="auto" w:fill="auto"/>
                        <w:noWrap/>
                        <w:vAlign w:val="bottom"/>
                        <w:hideMark/>
                      </w:tcPr>
                      <w:p w14:paraId="33366A70"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 xml:space="preserve">  1 500 000 </w:t>
                        </w:r>
                      </w:p>
                    </w:tc>
                    <w:tc>
                      <w:tcPr>
                        <w:tcW w:w="900" w:type="dxa"/>
                        <w:tcBorders>
                          <w:top w:val="nil"/>
                          <w:left w:val="nil"/>
                          <w:bottom w:val="single" w:sz="4" w:space="0" w:color="auto"/>
                          <w:right w:val="single" w:sz="4" w:space="0" w:color="auto"/>
                        </w:tcBorders>
                        <w:shd w:val="clear" w:color="auto" w:fill="auto"/>
                        <w:noWrap/>
                        <w:vAlign w:val="bottom"/>
                        <w:hideMark/>
                      </w:tcPr>
                      <w:p w14:paraId="33366A71"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33366A72"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 xml:space="preserve">  2 500 000 </w:t>
                        </w:r>
                      </w:p>
                    </w:tc>
                    <w:tc>
                      <w:tcPr>
                        <w:tcW w:w="1340" w:type="dxa"/>
                        <w:tcBorders>
                          <w:top w:val="nil"/>
                          <w:left w:val="nil"/>
                          <w:bottom w:val="single" w:sz="4" w:space="0" w:color="auto"/>
                          <w:right w:val="single" w:sz="4" w:space="0" w:color="auto"/>
                        </w:tcBorders>
                        <w:shd w:val="clear" w:color="auto" w:fill="auto"/>
                        <w:noWrap/>
                        <w:vAlign w:val="bottom"/>
                        <w:hideMark/>
                      </w:tcPr>
                      <w:p w14:paraId="33366A73"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 xml:space="preserve">            500 000 </w:t>
                        </w:r>
                      </w:p>
                    </w:tc>
                    <w:tc>
                      <w:tcPr>
                        <w:tcW w:w="1120" w:type="dxa"/>
                        <w:tcBorders>
                          <w:top w:val="nil"/>
                          <w:left w:val="nil"/>
                          <w:bottom w:val="single" w:sz="4" w:space="0" w:color="auto"/>
                          <w:right w:val="single" w:sz="4" w:space="0" w:color="auto"/>
                        </w:tcBorders>
                        <w:shd w:val="clear" w:color="auto" w:fill="auto"/>
                        <w:noWrap/>
                        <w:vAlign w:val="bottom"/>
                        <w:hideMark/>
                      </w:tcPr>
                      <w:p w14:paraId="33366A74"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 xml:space="preserve">    3 000 000 </w:t>
                        </w:r>
                      </w:p>
                    </w:tc>
                  </w:tr>
                  <w:tr w:rsidR="00905512" w:rsidRPr="00905512" w14:paraId="33366A7D" w14:textId="77777777" w:rsidTr="00905512">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33366A76"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Component 3: Scaling up Phase</w:t>
                        </w:r>
                      </w:p>
                    </w:tc>
                    <w:tc>
                      <w:tcPr>
                        <w:tcW w:w="1060" w:type="dxa"/>
                        <w:tcBorders>
                          <w:top w:val="nil"/>
                          <w:left w:val="nil"/>
                          <w:bottom w:val="single" w:sz="4" w:space="0" w:color="auto"/>
                          <w:right w:val="single" w:sz="4" w:space="0" w:color="auto"/>
                        </w:tcBorders>
                        <w:shd w:val="clear" w:color="auto" w:fill="auto"/>
                        <w:noWrap/>
                        <w:vAlign w:val="bottom"/>
                        <w:hideMark/>
                      </w:tcPr>
                      <w:p w14:paraId="33366A77"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 xml:space="preserve">        80 000 </w:t>
                        </w:r>
                      </w:p>
                    </w:tc>
                    <w:tc>
                      <w:tcPr>
                        <w:tcW w:w="1060" w:type="dxa"/>
                        <w:tcBorders>
                          <w:top w:val="nil"/>
                          <w:left w:val="nil"/>
                          <w:bottom w:val="single" w:sz="4" w:space="0" w:color="auto"/>
                          <w:right w:val="single" w:sz="4" w:space="0" w:color="auto"/>
                        </w:tcBorders>
                        <w:shd w:val="clear" w:color="auto" w:fill="auto"/>
                        <w:noWrap/>
                        <w:vAlign w:val="bottom"/>
                        <w:hideMark/>
                      </w:tcPr>
                      <w:p w14:paraId="33366A78"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 xml:space="preserve">     100 000 </w:t>
                        </w:r>
                      </w:p>
                    </w:tc>
                    <w:tc>
                      <w:tcPr>
                        <w:tcW w:w="900" w:type="dxa"/>
                        <w:tcBorders>
                          <w:top w:val="nil"/>
                          <w:left w:val="nil"/>
                          <w:bottom w:val="single" w:sz="4" w:space="0" w:color="auto"/>
                          <w:right w:val="single" w:sz="4" w:space="0" w:color="auto"/>
                        </w:tcBorders>
                        <w:shd w:val="clear" w:color="auto" w:fill="auto"/>
                        <w:noWrap/>
                        <w:vAlign w:val="bottom"/>
                        <w:hideMark/>
                      </w:tcPr>
                      <w:p w14:paraId="33366A79"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 xml:space="preserve">  100 000 </w:t>
                        </w:r>
                      </w:p>
                    </w:tc>
                    <w:tc>
                      <w:tcPr>
                        <w:tcW w:w="1060" w:type="dxa"/>
                        <w:tcBorders>
                          <w:top w:val="nil"/>
                          <w:left w:val="nil"/>
                          <w:bottom w:val="single" w:sz="4" w:space="0" w:color="auto"/>
                          <w:right w:val="single" w:sz="4" w:space="0" w:color="auto"/>
                        </w:tcBorders>
                        <w:shd w:val="clear" w:color="auto" w:fill="auto"/>
                        <w:noWrap/>
                        <w:vAlign w:val="bottom"/>
                        <w:hideMark/>
                      </w:tcPr>
                      <w:p w14:paraId="33366A7A"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 xml:space="preserve">     280 000 </w:t>
                        </w:r>
                      </w:p>
                    </w:tc>
                    <w:tc>
                      <w:tcPr>
                        <w:tcW w:w="1340" w:type="dxa"/>
                        <w:tcBorders>
                          <w:top w:val="nil"/>
                          <w:left w:val="nil"/>
                          <w:bottom w:val="single" w:sz="4" w:space="0" w:color="auto"/>
                          <w:right w:val="single" w:sz="4" w:space="0" w:color="auto"/>
                        </w:tcBorders>
                        <w:shd w:val="clear" w:color="auto" w:fill="auto"/>
                        <w:noWrap/>
                        <w:vAlign w:val="bottom"/>
                        <w:hideMark/>
                      </w:tcPr>
                      <w:p w14:paraId="33366A7B"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33366A7C"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 xml:space="preserve">       280 000 </w:t>
                        </w:r>
                      </w:p>
                    </w:tc>
                  </w:tr>
                  <w:tr w:rsidR="00905512" w:rsidRPr="00905512" w14:paraId="33366A85" w14:textId="77777777" w:rsidTr="00905512">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33366A7E"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Component 4: M&amp;E and KM.</w:t>
                        </w:r>
                      </w:p>
                    </w:tc>
                    <w:tc>
                      <w:tcPr>
                        <w:tcW w:w="1060" w:type="dxa"/>
                        <w:tcBorders>
                          <w:top w:val="nil"/>
                          <w:left w:val="nil"/>
                          <w:bottom w:val="single" w:sz="4" w:space="0" w:color="auto"/>
                          <w:right w:val="single" w:sz="4" w:space="0" w:color="auto"/>
                        </w:tcBorders>
                        <w:shd w:val="clear" w:color="auto" w:fill="auto"/>
                        <w:noWrap/>
                        <w:vAlign w:val="bottom"/>
                        <w:hideMark/>
                      </w:tcPr>
                      <w:p w14:paraId="33366A7F"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 xml:space="preserve">        20 740 </w:t>
                        </w:r>
                      </w:p>
                    </w:tc>
                    <w:tc>
                      <w:tcPr>
                        <w:tcW w:w="1060" w:type="dxa"/>
                        <w:tcBorders>
                          <w:top w:val="nil"/>
                          <w:left w:val="nil"/>
                          <w:bottom w:val="single" w:sz="4" w:space="0" w:color="auto"/>
                          <w:right w:val="single" w:sz="4" w:space="0" w:color="auto"/>
                        </w:tcBorders>
                        <w:shd w:val="clear" w:color="auto" w:fill="auto"/>
                        <w:noWrap/>
                        <w:vAlign w:val="bottom"/>
                        <w:hideMark/>
                      </w:tcPr>
                      <w:p w14:paraId="33366A80"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 xml:space="preserve">     100 000 </w:t>
                        </w:r>
                      </w:p>
                    </w:tc>
                    <w:tc>
                      <w:tcPr>
                        <w:tcW w:w="900" w:type="dxa"/>
                        <w:tcBorders>
                          <w:top w:val="nil"/>
                          <w:left w:val="nil"/>
                          <w:bottom w:val="single" w:sz="4" w:space="0" w:color="auto"/>
                          <w:right w:val="single" w:sz="4" w:space="0" w:color="auto"/>
                        </w:tcBorders>
                        <w:shd w:val="clear" w:color="auto" w:fill="auto"/>
                        <w:noWrap/>
                        <w:vAlign w:val="bottom"/>
                        <w:hideMark/>
                      </w:tcPr>
                      <w:p w14:paraId="33366A81"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 xml:space="preserve">  100 000 </w:t>
                        </w:r>
                      </w:p>
                    </w:tc>
                    <w:tc>
                      <w:tcPr>
                        <w:tcW w:w="1060" w:type="dxa"/>
                        <w:tcBorders>
                          <w:top w:val="nil"/>
                          <w:left w:val="nil"/>
                          <w:bottom w:val="single" w:sz="4" w:space="0" w:color="auto"/>
                          <w:right w:val="single" w:sz="4" w:space="0" w:color="auto"/>
                        </w:tcBorders>
                        <w:shd w:val="clear" w:color="auto" w:fill="auto"/>
                        <w:noWrap/>
                        <w:vAlign w:val="bottom"/>
                        <w:hideMark/>
                      </w:tcPr>
                      <w:p w14:paraId="33366A82"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 xml:space="preserve">     220 740 </w:t>
                        </w:r>
                      </w:p>
                    </w:tc>
                    <w:tc>
                      <w:tcPr>
                        <w:tcW w:w="1340" w:type="dxa"/>
                        <w:tcBorders>
                          <w:top w:val="nil"/>
                          <w:left w:val="nil"/>
                          <w:bottom w:val="single" w:sz="4" w:space="0" w:color="auto"/>
                          <w:right w:val="single" w:sz="4" w:space="0" w:color="auto"/>
                        </w:tcBorders>
                        <w:shd w:val="clear" w:color="auto" w:fill="auto"/>
                        <w:noWrap/>
                        <w:vAlign w:val="bottom"/>
                        <w:hideMark/>
                      </w:tcPr>
                      <w:p w14:paraId="33366A83"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33366A84"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 xml:space="preserve">       220 740 </w:t>
                        </w:r>
                      </w:p>
                    </w:tc>
                  </w:tr>
                  <w:tr w:rsidR="00905512" w:rsidRPr="00905512" w14:paraId="33366A8D" w14:textId="77777777" w:rsidTr="00905512">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33366A86"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Management fees/overheads</w:t>
                        </w:r>
                      </w:p>
                    </w:tc>
                    <w:tc>
                      <w:tcPr>
                        <w:tcW w:w="1060" w:type="dxa"/>
                        <w:tcBorders>
                          <w:top w:val="nil"/>
                          <w:left w:val="nil"/>
                          <w:bottom w:val="single" w:sz="4" w:space="0" w:color="auto"/>
                          <w:right w:val="single" w:sz="4" w:space="0" w:color="auto"/>
                        </w:tcBorders>
                        <w:shd w:val="clear" w:color="auto" w:fill="auto"/>
                        <w:noWrap/>
                        <w:vAlign w:val="bottom"/>
                        <w:hideMark/>
                      </w:tcPr>
                      <w:p w14:paraId="33366A87"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 xml:space="preserve">        96 059 </w:t>
                        </w:r>
                      </w:p>
                    </w:tc>
                    <w:tc>
                      <w:tcPr>
                        <w:tcW w:w="1060" w:type="dxa"/>
                        <w:tcBorders>
                          <w:top w:val="nil"/>
                          <w:left w:val="nil"/>
                          <w:bottom w:val="single" w:sz="4" w:space="0" w:color="auto"/>
                          <w:right w:val="single" w:sz="4" w:space="0" w:color="auto"/>
                        </w:tcBorders>
                        <w:shd w:val="clear" w:color="auto" w:fill="auto"/>
                        <w:noWrap/>
                        <w:vAlign w:val="bottom"/>
                        <w:hideMark/>
                      </w:tcPr>
                      <w:p w14:paraId="33366A88"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 xml:space="preserve">     147 200 </w:t>
                        </w:r>
                      </w:p>
                    </w:tc>
                    <w:tc>
                      <w:tcPr>
                        <w:tcW w:w="900" w:type="dxa"/>
                        <w:tcBorders>
                          <w:top w:val="nil"/>
                          <w:left w:val="nil"/>
                          <w:bottom w:val="single" w:sz="4" w:space="0" w:color="auto"/>
                          <w:right w:val="single" w:sz="4" w:space="0" w:color="auto"/>
                        </w:tcBorders>
                        <w:shd w:val="clear" w:color="auto" w:fill="auto"/>
                        <w:noWrap/>
                        <w:vAlign w:val="bottom"/>
                        <w:hideMark/>
                      </w:tcPr>
                      <w:p w14:paraId="33366A89"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 xml:space="preserve">    16 000 </w:t>
                        </w:r>
                      </w:p>
                    </w:tc>
                    <w:tc>
                      <w:tcPr>
                        <w:tcW w:w="1060" w:type="dxa"/>
                        <w:tcBorders>
                          <w:top w:val="nil"/>
                          <w:left w:val="nil"/>
                          <w:bottom w:val="single" w:sz="4" w:space="0" w:color="auto"/>
                          <w:right w:val="single" w:sz="4" w:space="0" w:color="auto"/>
                        </w:tcBorders>
                        <w:shd w:val="clear" w:color="auto" w:fill="auto"/>
                        <w:noWrap/>
                        <w:vAlign w:val="bottom"/>
                        <w:hideMark/>
                      </w:tcPr>
                      <w:p w14:paraId="33366A8A"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 xml:space="preserve">     259 259 </w:t>
                        </w:r>
                      </w:p>
                    </w:tc>
                    <w:tc>
                      <w:tcPr>
                        <w:tcW w:w="1340" w:type="dxa"/>
                        <w:tcBorders>
                          <w:top w:val="nil"/>
                          <w:left w:val="nil"/>
                          <w:bottom w:val="single" w:sz="4" w:space="0" w:color="auto"/>
                          <w:right w:val="single" w:sz="4" w:space="0" w:color="auto"/>
                        </w:tcBorders>
                        <w:shd w:val="clear" w:color="auto" w:fill="auto"/>
                        <w:noWrap/>
                        <w:vAlign w:val="bottom"/>
                        <w:hideMark/>
                      </w:tcPr>
                      <w:p w14:paraId="33366A8B"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33366A8C" w14:textId="77777777" w:rsidR="00905512" w:rsidRPr="00905512" w:rsidRDefault="00905512" w:rsidP="00905512">
                        <w:pPr>
                          <w:spacing w:after="0" w:line="240" w:lineRule="auto"/>
                          <w:rPr>
                            <w:rFonts w:ascii="Calibri" w:eastAsia="Times New Roman" w:hAnsi="Calibri" w:cs="Times New Roman"/>
                            <w:color w:val="000000"/>
                            <w:sz w:val="18"/>
                            <w:szCs w:val="18"/>
                            <w:lang w:eastAsia="en-GB"/>
                          </w:rPr>
                        </w:pPr>
                        <w:r w:rsidRPr="00905512">
                          <w:rPr>
                            <w:rFonts w:ascii="Calibri" w:eastAsia="Times New Roman" w:hAnsi="Calibri" w:cs="Times New Roman"/>
                            <w:color w:val="000000"/>
                            <w:sz w:val="18"/>
                            <w:szCs w:val="18"/>
                            <w:lang w:eastAsia="en-GB"/>
                          </w:rPr>
                          <w:t xml:space="preserve">       259 259 </w:t>
                        </w:r>
                      </w:p>
                    </w:tc>
                  </w:tr>
                  <w:tr w:rsidR="00905512" w:rsidRPr="00905512" w14:paraId="33366A95" w14:textId="77777777" w:rsidTr="00905512">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33366A8E" w14:textId="77777777" w:rsidR="00905512" w:rsidRPr="00905512" w:rsidRDefault="00905512" w:rsidP="00905512">
                        <w:pPr>
                          <w:spacing w:after="0" w:line="240" w:lineRule="auto"/>
                          <w:rPr>
                            <w:rFonts w:ascii="Calibri" w:eastAsia="Times New Roman" w:hAnsi="Calibri" w:cs="Times New Roman"/>
                            <w:b/>
                            <w:bCs/>
                            <w:color w:val="000000"/>
                            <w:sz w:val="18"/>
                            <w:szCs w:val="18"/>
                            <w:lang w:eastAsia="en-GB"/>
                          </w:rPr>
                        </w:pPr>
                        <w:r w:rsidRPr="00905512">
                          <w:rPr>
                            <w:rFonts w:ascii="Calibri" w:eastAsia="Times New Roman" w:hAnsi="Calibri" w:cs="Times New Roman"/>
                            <w:b/>
                            <w:bCs/>
                            <w:color w:val="000000"/>
                            <w:sz w:val="18"/>
                            <w:szCs w:val="18"/>
                            <w:lang w:eastAsia="en-GB"/>
                          </w:rPr>
                          <w:t>Total</w:t>
                        </w:r>
                      </w:p>
                    </w:tc>
                    <w:tc>
                      <w:tcPr>
                        <w:tcW w:w="1060" w:type="dxa"/>
                        <w:tcBorders>
                          <w:top w:val="nil"/>
                          <w:left w:val="nil"/>
                          <w:bottom w:val="single" w:sz="4" w:space="0" w:color="auto"/>
                          <w:right w:val="single" w:sz="4" w:space="0" w:color="auto"/>
                        </w:tcBorders>
                        <w:shd w:val="clear" w:color="auto" w:fill="auto"/>
                        <w:noWrap/>
                        <w:vAlign w:val="bottom"/>
                        <w:hideMark/>
                      </w:tcPr>
                      <w:p w14:paraId="33366A8F" w14:textId="77777777" w:rsidR="00905512" w:rsidRPr="00905512" w:rsidRDefault="00905512" w:rsidP="00905512">
                        <w:pPr>
                          <w:spacing w:after="0" w:line="240" w:lineRule="auto"/>
                          <w:rPr>
                            <w:rFonts w:ascii="Calibri" w:eastAsia="Times New Roman" w:hAnsi="Calibri" w:cs="Times New Roman"/>
                            <w:b/>
                            <w:bCs/>
                            <w:color w:val="000000"/>
                            <w:sz w:val="18"/>
                            <w:szCs w:val="18"/>
                            <w:lang w:eastAsia="en-GB"/>
                          </w:rPr>
                        </w:pPr>
                        <w:r w:rsidRPr="00905512">
                          <w:rPr>
                            <w:rFonts w:ascii="Calibri" w:eastAsia="Times New Roman" w:hAnsi="Calibri" w:cs="Times New Roman"/>
                            <w:b/>
                            <w:bCs/>
                            <w:color w:val="000000"/>
                            <w:sz w:val="18"/>
                            <w:szCs w:val="18"/>
                            <w:lang w:eastAsia="en-GB"/>
                          </w:rPr>
                          <w:t xml:space="preserve">  1 296 799 </w:t>
                        </w:r>
                      </w:p>
                    </w:tc>
                    <w:tc>
                      <w:tcPr>
                        <w:tcW w:w="1060" w:type="dxa"/>
                        <w:tcBorders>
                          <w:top w:val="nil"/>
                          <w:left w:val="nil"/>
                          <w:bottom w:val="single" w:sz="4" w:space="0" w:color="auto"/>
                          <w:right w:val="single" w:sz="4" w:space="0" w:color="auto"/>
                        </w:tcBorders>
                        <w:shd w:val="clear" w:color="auto" w:fill="auto"/>
                        <w:noWrap/>
                        <w:vAlign w:val="bottom"/>
                        <w:hideMark/>
                      </w:tcPr>
                      <w:p w14:paraId="33366A90" w14:textId="77777777" w:rsidR="00905512" w:rsidRPr="00905512" w:rsidRDefault="00905512" w:rsidP="00905512">
                        <w:pPr>
                          <w:spacing w:after="0" w:line="240" w:lineRule="auto"/>
                          <w:rPr>
                            <w:rFonts w:ascii="Calibri" w:eastAsia="Times New Roman" w:hAnsi="Calibri" w:cs="Times New Roman"/>
                            <w:b/>
                            <w:bCs/>
                            <w:color w:val="000000"/>
                            <w:sz w:val="18"/>
                            <w:szCs w:val="18"/>
                            <w:lang w:eastAsia="en-GB"/>
                          </w:rPr>
                        </w:pPr>
                        <w:r w:rsidRPr="00905512">
                          <w:rPr>
                            <w:rFonts w:ascii="Calibri" w:eastAsia="Times New Roman" w:hAnsi="Calibri" w:cs="Times New Roman"/>
                            <w:b/>
                            <w:bCs/>
                            <w:color w:val="000000"/>
                            <w:sz w:val="18"/>
                            <w:szCs w:val="18"/>
                            <w:lang w:eastAsia="en-GB"/>
                          </w:rPr>
                          <w:t xml:space="preserve">  1 987 200 </w:t>
                        </w:r>
                      </w:p>
                    </w:tc>
                    <w:tc>
                      <w:tcPr>
                        <w:tcW w:w="900" w:type="dxa"/>
                        <w:tcBorders>
                          <w:top w:val="nil"/>
                          <w:left w:val="nil"/>
                          <w:bottom w:val="single" w:sz="4" w:space="0" w:color="auto"/>
                          <w:right w:val="single" w:sz="4" w:space="0" w:color="auto"/>
                        </w:tcBorders>
                        <w:shd w:val="clear" w:color="auto" w:fill="auto"/>
                        <w:noWrap/>
                        <w:vAlign w:val="bottom"/>
                        <w:hideMark/>
                      </w:tcPr>
                      <w:p w14:paraId="33366A91" w14:textId="77777777" w:rsidR="00905512" w:rsidRPr="00905512" w:rsidRDefault="00905512" w:rsidP="00905512">
                        <w:pPr>
                          <w:spacing w:after="0" w:line="240" w:lineRule="auto"/>
                          <w:rPr>
                            <w:rFonts w:ascii="Calibri" w:eastAsia="Times New Roman" w:hAnsi="Calibri" w:cs="Times New Roman"/>
                            <w:b/>
                            <w:bCs/>
                            <w:color w:val="000000"/>
                            <w:sz w:val="18"/>
                            <w:szCs w:val="18"/>
                            <w:lang w:eastAsia="en-GB"/>
                          </w:rPr>
                        </w:pPr>
                        <w:r w:rsidRPr="00905512">
                          <w:rPr>
                            <w:rFonts w:ascii="Calibri" w:eastAsia="Times New Roman" w:hAnsi="Calibri" w:cs="Times New Roman"/>
                            <w:b/>
                            <w:bCs/>
                            <w:color w:val="000000"/>
                            <w:sz w:val="18"/>
                            <w:szCs w:val="18"/>
                            <w:lang w:eastAsia="en-GB"/>
                          </w:rPr>
                          <w:t xml:space="preserve">  216 000 </w:t>
                        </w:r>
                      </w:p>
                    </w:tc>
                    <w:tc>
                      <w:tcPr>
                        <w:tcW w:w="1060" w:type="dxa"/>
                        <w:tcBorders>
                          <w:top w:val="nil"/>
                          <w:left w:val="nil"/>
                          <w:bottom w:val="single" w:sz="4" w:space="0" w:color="auto"/>
                          <w:right w:val="single" w:sz="4" w:space="0" w:color="auto"/>
                        </w:tcBorders>
                        <w:shd w:val="clear" w:color="auto" w:fill="auto"/>
                        <w:noWrap/>
                        <w:vAlign w:val="bottom"/>
                        <w:hideMark/>
                      </w:tcPr>
                      <w:p w14:paraId="33366A92" w14:textId="77777777" w:rsidR="00905512" w:rsidRPr="00905512" w:rsidRDefault="00905512" w:rsidP="00905512">
                        <w:pPr>
                          <w:spacing w:after="0" w:line="240" w:lineRule="auto"/>
                          <w:rPr>
                            <w:rFonts w:ascii="Calibri" w:eastAsia="Times New Roman" w:hAnsi="Calibri" w:cs="Times New Roman"/>
                            <w:b/>
                            <w:bCs/>
                            <w:color w:val="000000"/>
                            <w:sz w:val="18"/>
                            <w:szCs w:val="18"/>
                            <w:lang w:eastAsia="en-GB"/>
                          </w:rPr>
                        </w:pPr>
                        <w:r w:rsidRPr="00905512">
                          <w:rPr>
                            <w:rFonts w:ascii="Calibri" w:eastAsia="Times New Roman" w:hAnsi="Calibri" w:cs="Times New Roman"/>
                            <w:b/>
                            <w:bCs/>
                            <w:color w:val="000000"/>
                            <w:sz w:val="18"/>
                            <w:szCs w:val="18"/>
                            <w:lang w:eastAsia="en-GB"/>
                          </w:rPr>
                          <w:t xml:space="preserve">  3 499 999 </w:t>
                        </w:r>
                      </w:p>
                    </w:tc>
                    <w:tc>
                      <w:tcPr>
                        <w:tcW w:w="1340" w:type="dxa"/>
                        <w:tcBorders>
                          <w:top w:val="nil"/>
                          <w:left w:val="nil"/>
                          <w:bottom w:val="single" w:sz="4" w:space="0" w:color="auto"/>
                          <w:right w:val="single" w:sz="4" w:space="0" w:color="auto"/>
                        </w:tcBorders>
                        <w:shd w:val="clear" w:color="auto" w:fill="auto"/>
                        <w:noWrap/>
                        <w:vAlign w:val="bottom"/>
                        <w:hideMark/>
                      </w:tcPr>
                      <w:p w14:paraId="33366A93" w14:textId="77777777" w:rsidR="00905512" w:rsidRPr="00905512" w:rsidRDefault="00905512" w:rsidP="00905512">
                        <w:pPr>
                          <w:spacing w:after="0" w:line="240" w:lineRule="auto"/>
                          <w:rPr>
                            <w:rFonts w:ascii="Calibri" w:eastAsia="Times New Roman" w:hAnsi="Calibri" w:cs="Times New Roman"/>
                            <w:b/>
                            <w:bCs/>
                            <w:color w:val="000000"/>
                            <w:sz w:val="18"/>
                            <w:szCs w:val="18"/>
                            <w:lang w:eastAsia="en-GB"/>
                          </w:rPr>
                        </w:pPr>
                        <w:r w:rsidRPr="00905512">
                          <w:rPr>
                            <w:rFonts w:ascii="Calibri" w:eastAsia="Times New Roman" w:hAnsi="Calibri" w:cs="Times New Roman"/>
                            <w:b/>
                            <w:bCs/>
                            <w:color w:val="000000"/>
                            <w:sz w:val="18"/>
                            <w:szCs w:val="18"/>
                            <w:lang w:eastAsia="en-GB"/>
                          </w:rPr>
                          <w:t xml:space="preserve">            500 000 </w:t>
                        </w:r>
                      </w:p>
                    </w:tc>
                    <w:tc>
                      <w:tcPr>
                        <w:tcW w:w="1120" w:type="dxa"/>
                        <w:tcBorders>
                          <w:top w:val="nil"/>
                          <w:left w:val="nil"/>
                          <w:bottom w:val="single" w:sz="4" w:space="0" w:color="auto"/>
                          <w:right w:val="single" w:sz="4" w:space="0" w:color="auto"/>
                        </w:tcBorders>
                        <w:shd w:val="clear" w:color="auto" w:fill="auto"/>
                        <w:noWrap/>
                        <w:vAlign w:val="bottom"/>
                        <w:hideMark/>
                      </w:tcPr>
                      <w:p w14:paraId="33366A94" w14:textId="77777777" w:rsidR="00905512" w:rsidRPr="00905512" w:rsidRDefault="00905512" w:rsidP="00905512">
                        <w:pPr>
                          <w:spacing w:after="0" w:line="240" w:lineRule="auto"/>
                          <w:rPr>
                            <w:rFonts w:ascii="Calibri" w:eastAsia="Times New Roman" w:hAnsi="Calibri" w:cs="Times New Roman"/>
                            <w:b/>
                            <w:bCs/>
                            <w:color w:val="000000"/>
                            <w:sz w:val="18"/>
                            <w:szCs w:val="18"/>
                            <w:lang w:eastAsia="en-GB"/>
                          </w:rPr>
                        </w:pPr>
                        <w:r w:rsidRPr="00905512">
                          <w:rPr>
                            <w:rFonts w:ascii="Calibri" w:eastAsia="Times New Roman" w:hAnsi="Calibri" w:cs="Times New Roman"/>
                            <w:b/>
                            <w:bCs/>
                            <w:color w:val="000000"/>
                            <w:sz w:val="18"/>
                            <w:szCs w:val="18"/>
                            <w:lang w:eastAsia="en-GB"/>
                          </w:rPr>
                          <w:t xml:space="preserve">    3 999 999 </w:t>
                        </w:r>
                      </w:p>
                    </w:tc>
                  </w:tr>
                </w:tbl>
                <w:p w14:paraId="33366A96" w14:textId="77777777" w:rsidR="00F17636" w:rsidRPr="00F17636" w:rsidRDefault="00F17636" w:rsidP="000D5D0F">
                  <w:pPr>
                    <w:pStyle w:val="ListParagraph"/>
                    <w:ind w:left="0"/>
                    <w:contextualSpacing w:val="0"/>
                    <w:rPr>
                      <w:b/>
                      <w:bCs/>
                      <w:iCs/>
                      <w:sz w:val="20"/>
                      <w:szCs w:val="20"/>
                    </w:rPr>
                  </w:pPr>
                </w:p>
                <w:p w14:paraId="33366A97" w14:textId="77777777" w:rsidR="00A36FF6" w:rsidRPr="00A36FF6" w:rsidRDefault="00A36FF6" w:rsidP="00FA6979">
                  <w:pPr>
                    <w:pStyle w:val="ListParagraph"/>
                    <w:ind w:left="0"/>
                    <w:contextualSpacing w:val="0"/>
                    <w:rPr>
                      <w:b/>
                      <w:bCs/>
                    </w:rPr>
                  </w:pPr>
                </w:p>
              </w:tc>
            </w:tr>
            <w:tr w:rsidR="004E471A" w:rsidRPr="00A36FF6" w14:paraId="33366AA1" w14:textId="77777777" w:rsidTr="00905512">
              <w:trPr>
                <w:trHeight w:val="20"/>
              </w:trPr>
              <w:tc>
                <w:tcPr>
                  <w:tcW w:w="9385" w:type="dxa"/>
                  <w:gridSpan w:val="2"/>
                </w:tcPr>
                <w:p w14:paraId="33366A99" w14:textId="77777777" w:rsidR="00CC1893" w:rsidRPr="00A36FF6" w:rsidRDefault="009E7B9B" w:rsidP="00A36FF6">
                  <w:pPr>
                    <w:pStyle w:val="ListParagraph"/>
                    <w:ind w:left="0"/>
                    <w:contextualSpacing w:val="0"/>
                    <w:jc w:val="both"/>
                    <w:rPr>
                      <w:color w:val="000000"/>
                    </w:rPr>
                  </w:pPr>
                  <w:r w:rsidRPr="00A36FF6">
                    <w:rPr>
                      <w:b/>
                      <w:bCs/>
                    </w:rPr>
                    <w:t>18</w:t>
                  </w:r>
                  <w:r w:rsidR="00020753" w:rsidRPr="00A36FF6">
                    <w:rPr>
                      <w:b/>
                      <w:bCs/>
                    </w:rPr>
                    <w:t xml:space="preserve">. </w:t>
                  </w:r>
                  <w:r w:rsidR="004E471A" w:rsidRPr="00A36FF6">
                    <w:rPr>
                      <w:b/>
                      <w:bCs/>
                    </w:rPr>
                    <w:t>Risks</w:t>
                  </w:r>
                  <w:r w:rsidR="00B42E75" w:rsidRPr="00A36FF6">
                    <w:rPr>
                      <w:i/>
                      <w:iCs/>
                    </w:rPr>
                    <w:t xml:space="preserve">: </w:t>
                  </w:r>
                  <w:r w:rsidR="00CC1893" w:rsidRPr="00A36FF6">
                    <w:rPr>
                      <w:color w:val="000000"/>
                    </w:rPr>
                    <w:t xml:space="preserve">The </w:t>
                  </w:r>
                  <w:r w:rsidR="005F50AA" w:rsidRPr="00A36FF6">
                    <w:rPr>
                      <w:color w:val="000000"/>
                    </w:rPr>
                    <w:t>main risks associated with th</w:t>
                  </w:r>
                  <w:r w:rsidR="00A36FF6">
                    <w:rPr>
                      <w:color w:val="000000"/>
                    </w:rPr>
                    <w:t xml:space="preserve">is grant </w:t>
                  </w:r>
                  <w:r w:rsidR="00CC1893" w:rsidRPr="00A36FF6">
                    <w:rPr>
                      <w:color w:val="000000"/>
                    </w:rPr>
                    <w:t xml:space="preserve">are: </w:t>
                  </w:r>
                </w:p>
                <w:p w14:paraId="33366A9A" w14:textId="77777777" w:rsidR="00CC1893" w:rsidRPr="00A36FF6" w:rsidRDefault="00CC1893" w:rsidP="00CC1893">
                  <w:pPr>
                    <w:pStyle w:val="ListParagraph"/>
                    <w:numPr>
                      <w:ilvl w:val="0"/>
                      <w:numId w:val="12"/>
                    </w:numPr>
                    <w:ind w:left="171" w:hanging="142"/>
                    <w:contextualSpacing w:val="0"/>
                    <w:jc w:val="both"/>
                    <w:rPr>
                      <w:color w:val="000000"/>
                    </w:rPr>
                  </w:pPr>
                  <w:r w:rsidRPr="00A36FF6">
                    <w:rPr>
                      <w:color w:val="000000"/>
                    </w:rPr>
                    <w:t xml:space="preserve">Fintech/Agritech companies might not have enough interest to expand their offering of services to IFAD target groups because of the high cost and risk </w:t>
                  </w:r>
                  <w:r w:rsidR="00B92669" w:rsidRPr="00A36FF6">
                    <w:rPr>
                      <w:color w:val="000000"/>
                    </w:rPr>
                    <w:t xml:space="preserve">associated </w:t>
                  </w:r>
                  <w:r w:rsidRPr="00A36FF6">
                    <w:rPr>
                      <w:color w:val="000000"/>
                    </w:rPr>
                    <w:t xml:space="preserve">of serving poor farmers in remote </w:t>
                  </w:r>
                  <w:r w:rsidR="00B92669" w:rsidRPr="00A36FF6">
                    <w:rPr>
                      <w:color w:val="000000"/>
                    </w:rPr>
                    <w:t xml:space="preserve">rural </w:t>
                  </w:r>
                  <w:r w:rsidRPr="00A36FF6">
                    <w:rPr>
                      <w:color w:val="000000"/>
                    </w:rPr>
                    <w:t>areas.</w:t>
                  </w:r>
                </w:p>
                <w:p w14:paraId="33366A9B" w14:textId="77777777" w:rsidR="000A110E" w:rsidRPr="00A36FF6" w:rsidRDefault="000A110E" w:rsidP="00B92669">
                  <w:pPr>
                    <w:pStyle w:val="ListParagraph"/>
                    <w:numPr>
                      <w:ilvl w:val="0"/>
                      <w:numId w:val="12"/>
                    </w:numPr>
                    <w:ind w:left="171" w:hanging="142"/>
                    <w:contextualSpacing w:val="0"/>
                    <w:jc w:val="both"/>
                    <w:rPr>
                      <w:color w:val="000000"/>
                    </w:rPr>
                  </w:pPr>
                  <w:r w:rsidRPr="00A36FF6">
                    <w:rPr>
                      <w:color w:val="000000"/>
                    </w:rPr>
                    <w:t xml:space="preserve">Significant delays in deployment </w:t>
                  </w:r>
                  <w:r w:rsidR="00B92669" w:rsidRPr="00A36FF6">
                    <w:rPr>
                      <w:color w:val="000000"/>
                    </w:rPr>
                    <w:t xml:space="preserve">of services </w:t>
                  </w:r>
                  <w:r w:rsidRPr="00A36FF6">
                    <w:rPr>
                      <w:color w:val="000000"/>
                    </w:rPr>
                    <w:t xml:space="preserve">due to limited </w:t>
                  </w:r>
                  <w:r w:rsidR="00B92669" w:rsidRPr="00A36FF6">
                    <w:rPr>
                      <w:color w:val="000000"/>
                    </w:rPr>
                    <w:t xml:space="preserve">technical </w:t>
                  </w:r>
                  <w:r w:rsidRPr="00A36FF6">
                    <w:rPr>
                      <w:color w:val="000000"/>
                    </w:rPr>
                    <w:t>capacity and</w:t>
                  </w:r>
                  <w:r w:rsidR="00B92669" w:rsidRPr="00A36FF6">
                    <w:rPr>
                      <w:color w:val="000000"/>
                    </w:rPr>
                    <w:t xml:space="preserve">/or financial </w:t>
                  </w:r>
                  <w:r w:rsidRPr="00A36FF6">
                    <w:rPr>
                      <w:color w:val="000000"/>
                    </w:rPr>
                    <w:t>resources of Fintech/Agritech companies</w:t>
                  </w:r>
                  <w:r w:rsidR="00C27624" w:rsidRPr="00A36FF6">
                    <w:rPr>
                      <w:color w:val="000000"/>
                    </w:rPr>
                    <w:t>.</w:t>
                  </w:r>
                </w:p>
                <w:p w14:paraId="33366A9C" w14:textId="77777777" w:rsidR="000A110E" w:rsidRPr="00A36FF6" w:rsidRDefault="00C27624" w:rsidP="00B92669">
                  <w:pPr>
                    <w:pStyle w:val="ListParagraph"/>
                    <w:numPr>
                      <w:ilvl w:val="0"/>
                      <w:numId w:val="12"/>
                    </w:numPr>
                    <w:ind w:left="171" w:hanging="142"/>
                    <w:contextualSpacing w:val="0"/>
                    <w:jc w:val="both"/>
                    <w:rPr>
                      <w:color w:val="000000"/>
                    </w:rPr>
                  </w:pPr>
                  <w:r w:rsidRPr="00A36FF6">
                    <w:rPr>
                      <w:color w:val="000000"/>
                    </w:rPr>
                    <w:t>Fintech/Agritech companies</w:t>
                  </w:r>
                  <w:r w:rsidR="00B92669" w:rsidRPr="00A36FF6">
                    <w:rPr>
                      <w:color w:val="000000"/>
                    </w:rPr>
                    <w:t xml:space="preserve">, and/or </w:t>
                  </w:r>
                  <w:r w:rsidRPr="00A36FF6">
                    <w:rPr>
                      <w:color w:val="000000"/>
                    </w:rPr>
                    <w:t xml:space="preserve">their implementing partners are not able to achieve commercial sustainability to deliver their services during the </w:t>
                  </w:r>
                  <w:proofErr w:type="gramStart"/>
                  <w:r w:rsidRPr="00A36FF6">
                    <w:rPr>
                      <w:color w:val="000000"/>
                    </w:rPr>
                    <w:t>3 year</w:t>
                  </w:r>
                  <w:proofErr w:type="gramEnd"/>
                  <w:r w:rsidRPr="00A36FF6">
                    <w:rPr>
                      <w:color w:val="000000"/>
                    </w:rPr>
                    <w:t xml:space="preserve"> timeframe.</w:t>
                  </w:r>
                </w:p>
                <w:p w14:paraId="33366A9D" w14:textId="77777777" w:rsidR="00107390" w:rsidRPr="00A36FF6" w:rsidRDefault="00107390" w:rsidP="00CC1893">
                  <w:pPr>
                    <w:pStyle w:val="ListParagraph"/>
                    <w:ind w:left="0"/>
                    <w:contextualSpacing w:val="0"/>
                    <w:jc w:val="both"/>
                    <w:rPr>
                      <w:b/>
                      <w:bCs/>
                      <w:color w:val="000000"/>
                    </w:rPr>
                  </w:pPr>
                  <w:r w:rsidRPr="00A36FF6">
                    <w:rPr>
                      <w:b/>
                      <w:bCs/>
                      <w:color w:val="000000"/>
                    </w:rPr>
                    <w:t>Mitigation measures:</w:t>
                  </w:r>
                </w:p>
                <w:p w14:paraId="33366A9E" w14:textId="77777777" w:rsidR="006D3ECF" w:rsidRPr="00A36FF6" w:rsidRDefault="000A110E" w:rsidP="00E86EBE">
                  <w:pPr>
                    <w:pStyle w:val="ListParagraph"/>
                    <w:numPr>
                      <w:ilvl w:val="0"/>
                      <w:numId w:val="12"/>
                    </w:numPr>
                    <w:ind w:left="171" w:hanging="142"/>
                    <w:contextualSpacing w:val="0"/>
                    <w:jc w:val="both"/>
                    <w:rPr>
                      <w:color w:val="000000"/>
                    </w:rPr>
                  </w:pPr>
                  <w:r w:rsidRPr="00A36FF6">
                    <w:rPr>
                      <w:color w:val="000000"/>
                    </w:rPr>
                    <w:t xml:space="preserve">The </w:t>
                  </w:r>
                  <w:r w:rsidR="006D3ECF" w:rsidRPr="00A36FF6">
                    <w:rPr>
                      <w:color w:val="000000"/>
                    </w:rPr>
                    <w:t xml:space="preserve">grantee </w:t>
                  </w:r>
                  <w:r w:rsidRPr="00A36FF6">
                    <w:rPr>
                      <w:color w:val="000000"/>
                    </w:rPr>
                    <w:t>will provide</w:t>
                  </w:r>
                  <w:r w:rsidR="006D3ECF" w:rsidRPr="00A36FF6">
                    <w:rPr>
                      <w:color w:val="000000"/>
                    </w:rPr>
                    <w:t xml:space="preserve"> a </w:t>
                  </w:r>
                  <w:r w:rsidRPr="00A36FF6">
                    <w:rPr>
                      <w:color w:val="000000"/>
                    </w:rPr>
                    <w:t xml:space="preserve">financial </w:t>
                  </w:r>
                  <w:r w:rsidR="006D3ECF" w:rsidRPr="00A36FF6">
                    <w:rPr>
                      <w:color w:val="000000"/>
                    </w:rPr>
                    <w:t>incentive</w:t>
                  </w:r>
                  <w:r w:rsidR="00E86EBE" w:rsidRPr="00A36FF6">
                    <w:rPr>
                      <w:color w:val="000000"/>
                    </w:rPr>
                    <w:t xml:space="preserve"> and technical support </w:t>
                  </w:r>
                  <w:r w:rsidRPr="00A36FF6">
                    <w:rPr>
                      <w:color w:val="000000"/>
                    </w:rPr>
                    <w:t>to the Fintech/Agritech companies</w:t>
                  </w:r>
                  <w:r w:rsidR="006D3ECF" w:rsidRPr="00A36FF6">
                    <w:rPr>
                      <w:color w:val="000000"/>
                    </w:rPr>
                    <w:t xml:space="preserve"> </w:t>
                  </w:r>
                  <w:proofErr w:type="gramStart"/>
                  <w:r w:rsidR="006D3ECF" w:rsidRPr="00A36FF6">
                    <w:rPr>
                      <w:color w:val="000000"/>
                    </w:rPr>
                    <w:t xml:space="preserve">to </w:t>
                  </w:r>
                  <w:r w:rsidR="005A05FA" w:rsidRPr="00A36FF6">
                    <w:rPr>
                      <w:color w:val="000000"/>
                    </w:rPr>
                    <w:t>partially cover</w:t>
                  </w:r>
                  <w:proofErr w:type="gramEnd"/>
                  <w:r w:rsidR="005A05FA" w:rsidRPr="00A36FF6">
                    <w:rPr>
                      <w:color w:val="000000"/>
                    </w:rPr>
                    <w:t xml:space="preserve"> their incremental cost </w:t>
                  </w:r>
                  <w:r w:rsidR="00E86EBE" w:rsidRPr="00A36FF6">
                    <w:rPr>
                      <w:color w:val="000000"/>
                    </w:rPr>
                    <w:t xml:space="preserve">of </w:t>
                  </w:r>
                  <w:r w:rsidR="006D3ECF" w:rsidRPr="00A36FF6">
                    <w:rPr>
                      <w:color w:val="000000"/>
                    </w:rPr>
                    <w:t>serv</w:t>
                  </w:r>
                  <w:r w:rsidR="00E86EBE" w:rsidRPr="00A36FF6">
                    <w:rPr>
                      <w:color w:val="000000"/>
                    </w:rPr>
                    <w:t xml:space="preserve">ing </w:t>
                  </w:r>
                  <w:r w:rsidR="006D3ECF" w:rsidRPr="00A36FF6">
                    <w:rPr>
                      <w:color w:val="000000"/>
                    </w:rPr>
                    <w:t>IFAD target group.</w:t>
                  </w:r>
                  <w:r w:rsidR="00E86EBE" w:rsidRPr="00A36FF6">
                    <w:rPr>
                      <w:color w:val="000000"/>
                    </w:rPr>
                    <w:t xml:space="preserve"> </w:t>
                  </w:r>
                </w:p>
                <w:p w14:paraId="33366A9F" w14:textId="77777777" w:rsidR="000A110E" w:rsidRPr="00A36FF6" w:rsidRDefault="000A110E" w:rsidP="00563956">
                  <w:pPr>
                    <w:pStyle w:val="ListParagraph"/>
                    <w:numPr>
                      <w:ilvl w:val="0"/>
                      <w:numId w:val="12"/>
                    </w:numPr>
                    <w:ind w:left="171" w:hanging="142"/>
                    <w:contextualSpacing w:val="0"/>
                    <w:jc w:val="both"/>
                    <w:rPr>
                      <w:color w:val="000000"/>
                    </w:rPr>
                  </w:pPr>
                  <w:r w:rsidRPr="00A36FF6">
                    <w:rPr>
                      <w:color w:val="000000"/>
                    </w:rPr>
                    <w:t>The grantee will identify project champions within each Fintech/Agritech compan</w:t>
                  </w:r>
                  <w:r w:rsidR="00E86EBE" w:rsidRPr="00A36FF6">
                    <w:rPr>
                      <w:color w:val="000000"/>
                    </w:rPr>
                    <w:t xml:space="preserve">y </w:t>
                  </w:r>
                  <w:r w:rsidRPr="00A36FF6">
                    <w:rPr>
                      <w:color w:val="000000"/>
                    </w:rPr>
                    <w:t xml:space="preserve">who will be key contacts during the grant implementation. The project champions </w:t>
                  </w:r>
                  <w:proofErr w:type="gramStart"/>
                  <w:r w:rsidRPr="00A36FF6">
                    <w:rPr>
                      <w:color w:val="000000"/>
                    </w:rPr>
                    <w:t xml:space="preserve">will be </w:t>
                  </w:r>
                  <w:r w:rsidR="00563956" w:rsidRPr="00A36FF6">
                    <w:rPr>
                      <w:color w:val="000000"/>
                    </w:rPr>
                    <w:t>paired</w:t>
                  </w:r>
                  <w:proofErr w:type="gramEnd"/>
                  <w:r w:rsidR="00563956" w:rsidRPr="00A36FF6">
                    <w:rPr>
                      <w:color w:val="000000"/>
                    </w:rPr>
                    <w:t xml:space="preserve"> </w:t>
                  </w:r>
                  <w:r w:rsidRPr="00A36FF6">
                    <w:rPr>
                      <w:color w:val="000000"/>
                    </w:rPr>
                    <w:t xml:space="preserve">with </w:t>
                  </w:r>
                  <w:r w:rsidR="00C73BA8" w:rsidRPr="00A36FF6">
                    <w:rPr>
                      <w:color w:val="000000"/>
                    </w:rPr>
                    <w:t>a</w:t>
                  </w:r>
                  <w:r w:rsidR="00563956" w:rsidRPr="00A36FF6">
                    <w:rPr>
                      <w:color w:val="000000"/>
                    </w:rPr>
                    <w:t xml:space="preserve"> member of the </w:t>
                  </w:r>
                  <w:r w:rsidRPr="00A36FF6">
                    <w:rPr>
                      <w:color w:val="000000"/>
                    </w:rPr>
                    <w:t xml:space="preserve">grantee in country team, </w:t>
                  </w:r>
                  <w:r w:rsidR="00563956" w:rsidRPr="00A36FF6">
                    <w:rPr>
                      <w:color w:val="000000"/>
                    </w:rPr>
                    <w:t xml:space="preserve">who </w:t>
                  </w:r>
                  <w:r w:rsidRPr="00A36FF6">
                    <w:rPr>
                      <w:color w:val="000000"/>
                    </w:rPr>
                    <w:t xml:space="preserve">will be </w:t>
                  </w:r>
                  <w:r w:rsidR="00563956" w:rsidRPr="00A36FF6">
                    <w:rPr>
                      <w:color w:val="000000"/>
                    </w:rPr>
                    <w:t xml:space="preserve">in charge of </w:t>
                  </w:r>
                  <w:r w:rsidRPr="00A36FF6">
                    <w:rPr>
                      <w:color w:val="000000"/>
                    </w:rPr>
                    <w:t>guid</w:t>
                  </w:r>
                  <w:r w:rsidR="00563956" w:rsidRPr="00A36FF6">
                    <w:rPr>
                      <w:color w:val="000000"/>
                    </w:rPr>
                    <w:t>ing</w:t>
                  </w:r>
                  <w:r w:rsidRPr="00A36FF6">
                    <w:rPr>
                      <w:color w:val="000000"/>
                    </w:rPr>
                    <w:t>, train</w:t>
                  </w:r>
                  <w:r w:rsidR="00563956" w:rsidRPr="00A36FF6">
                    <w:rPr>
                      <w:color w:val="000000"/>
                    </w:rPr>
                    <w:t xml:space="preserve">ing, </w:t>
                  </w:r>
                  <w:r w:rsidRPr="00A36FF6">
                    <w:rPr>
                      <w:color w:val="000000"/>
                    </w:rPr>
                    <w:t>and support</w:t>
                  </w:r>
                  <w:r w:rsidR="00563956" w:rsidRPr="00A36FF6">
                    <w:rPr>
                      <w:color w:val="000000"/>
                    </w:rPr>
                    <w:t xml:space="preserve">ing the project champion along the grant implementation. </w:t>
                  </w:r>
                </w:p>
                <w:p w14:paraId="33366AA0" w14:textId="77777777" w:rsidR="00107390" w:rsidRPr="00A36FF6" w:rsidRDefault="00C27624" w:rsidP="00A36FF6">
                  <w:pPr>
                    <w:pStyle w:val="ListParagraph"/>
                    <w:numPr>
                      <w:ilvl w:val="0"/>
                      <w:numId w:val="12"/>
                    </w:numPr>
                    <w:ind w:left="171" w:hanging="142"/>
                    <w:contextualSpacing w:val="0"/>
                    <w:jc w:val="both"/>
                    <w:rPr>
                      <w:color w:val="000000"/>
                    </w:rPr>
                  </w:pPr>
                  <w:r w:rsidRPr="00A36FF6">
                    <w:rPr>
                      <w:color w:val="000000"/>
                    </w:rPr>
                    <w:t xml:space="preserve">A good business model is crucial for </w:t>
                  </w:r>
                  <w:r w:rsidR="00563956" w:rsidRPr="00A36FF6">
                    <w:rPr>
                      <w:color w:val="000000"/>
                    </w:rPr>
                    <w:t xml:space="preserve">the </w:t>
                  </w:r>
                  <w:r w:rsidRPr="00A36FF6">
                    <w:rPr>
                      <w:color w:val="000000"/>
                    </w:rPr>
                    <w:t>Fintech/Agritech companies to sustain the provision of services post grant</w:t>
                  </w:r>
                  <w:r w:rsidR="00C62147" w:rsidRPr="00A36FF6">
                    <w:rPr>
                      <w:color w:val="000000"/>
                    </w:rPr>
                    <w:t>.</w:t>
                  </w:r>
                  <w:r w:rsidR="00563956" w:rsidRPr="00A36FF6">
                    <w:rPr>
                      <w:color w:val="000000"/>
                    </w:rPr>
                    <w:t xml:space="preserve"> </w:t>
                  </w:r>
                  <w:r w:rsidR="00C62147" w:rsidRPr="00A36FF6">
                    <w:rPr>
                      <w:color w:val="000000"/>
                    </w:rPr>
                    <w:t xml:space="preserve">The grantee should </w:t>
                  </w:r>
                  <w:r w:rsidR="00563956" w:rsidRPr="00A36FF6">
                    <w:rPr>
                      <w:color w:val="000000"/>
                    </w:rPr>
                    <w:t>only work with companies that are already operating</w:t>
                  </w:r>
                  <w:r w:rsidR="00E9734C" w:rsidRPr="00A36FF6">
                    <w:rPr>
                      <w:color w:val="000000"/>
                    </w:rPr>
                    <w:t xml:space="preserve">, </w:t>
                  </w:r>
                  <w:r w:rsidR="00563956" w:rsidRPr="00A36FF6">
                    <w:rPr>
                      <w:color w:val="000000"/>
                    </w:rPr>
                    <w:t>have good business model</w:t>
                  </w:r>
                  <w:r w:rsidR="00E9734C" w:rsidRPr="00A36FF6">
                    <w:rPr>
                      <w:color w:val="000000"/>
                    </w:rPr>
                    <w:t xml:space="preserve">s, and are able to </w:t>
                  </w:r>
                  <w:r w:rsidR="00563956" w:rsidRPr="00A36FF6">
                    <w:rPr>
                      <w:color w:val="000000"/>
                    </w:rPr>
                    <w:t xml:space="preserve">benefit from the </w:t>
                  </w:r>
                  <w:r w:rsidRPr="00A36FF6">
                    <w:rPr>
                      <w:color w:val="000000"/>
                    </w:rPr>
                    <w:t xml:space="preserve">cost reduction </w:t>
                  </w:r>
                  <w:r w:rsidR="00563956" w:rsidRPr="00A36FF6">
                    <w:rPr>
                      <w:color w:val="000000"/>
                    </w:rPr>
                    <w:t xml:space="preserve">and the </w:t>
                  </w:r>
                  <w:r w:rsidRPr="00A36FF6">
                    <w:rPr>
                      <w:color w:val="000000"/>
                    </w:rPr>
                    <w:t>efficiency gains</w:t>
                  </w:r>
                  <w:r w:rsidR="00E9734C" w:rsidRPr="00A36FF6">
                    <w:rPr>
                      <w:color w:val="000000"/>
                    </w:rPr>
                    <w:t xml:space="preserve"> of working within an IFAD project.</w:t>
                  </w:r>
                </w:p>
              </w:tc>
            </w:tr>
            <w:tr w:rsidR="004E471A" w:rsidRPr="00A36FF6" w14:paraId="33366AA3" w14:textId="77777777" w:rsidTr="00905512">
              <w:trPr>
                <w:trHeight w:val="20"/>
              </w:trPr>
              <w:tc>
                <w:tcPr>
                  <w:tcW w:w="9385" w:type="dxa"/>
                  <w:gridSpan w:val="2"/>
                </w:tcPr>
                <w:p w14:paraId="33366AA2" w14:textId="77777777" w:rsidR="00CE19B8" w:rsidRPr="00A36FF6" w:rsidRDefault="009E7B9B" w:rsidP="00CE19B8">
                  <w:pPr>
                    <w:pStyle w:val="ListParagraph"/>
                    <w:ind w:left="0"/>
                    <w:contextualSpacing w:val="0"/>
                    <w:jc w:val="both"/>
                    <w:rPr>
                      <w:color w:val="000000"/>
                    </w:rPr>
                  </w:pPr>
                  <w:r w:rsidRPr="00A36FF6">
                    <w:rPr>
                      <w:b/>
                      <w:bCs/>
                    </w:rPr>
                    <w:t>19</w:t>
                  </w:r>
                  <w:r w:rsidR="00020753" w:rsidRPr="00A36FF6">
                    <w:rPr>
                      <w:b/>
                      <w:bCs/>
                    </w:rPr>
                    <w:t xml:space="preserve">. </w:t>
                  </w:r>
                  <w:r w:rsidR="004E471A" w:rsidRPr="00A36FF6">
                    <w:rPr>
                      <w:b/>
                      <w:bCs/>
                    </w:rPr>
                    <w:t xml:space="preserve">Monitoring </w:t>
                  </w:r>
                  <w:r w:rsidR="0002685D" w:rsidRPr="00A36FF6">
                    <w:rPr>
                      <w:b/>
                      <w:bCs/>
                    </w:rPr>
                    <w:t>&amp;</w:t>
                  </w:r>
                  <w:r w:rsidR="004E471A" w:rsidRPr="00A36FF6">
                    <w:rPr>
                      <w:b/>
                      <w:bCs/>
                    </w:rPr>
                    <w:t xml:space="preserve"> Evaluation</w:t>
                  </w:r>
                  <w:r w:rsidR="0002685D" w:rsidRPr="00A36FF6">
                    <w:rPr>
                      <w:b/>
                      <w:bCs/>
                    </w:rPr>
                    <w:t>, KM</w:t>
                  </w:r>
                  <w:r w:rsidR="004E471A" w:rsidRPr="00A36FF6">
                    <w:rPr>
                      <w:b/>
                      <w:bCs/>
                    </w:rPr>
                    <w:t xml:space="preserve"> and Learning: </w:t>
                  </w:r>
                  <w:r w:rsidR="00107390" w:rsidRPr="00A36FF6">
                    <w:rPr>
                      <w:color w:val="000000"/>
                    </w:rPr>
                    <w:t xml:space="preserve">As mentioned in Point 16, Component 4 includes the monitoring and evaluation of the grant. The grant </w:t>
                  </w:r>
                  <w:proofErr w:type="gramStart"/>
                  <w:r w:rsidR="00107390" w:rsidRPr="00A36FF6">
                    <w:rPr>
                      <w:color w:val="000000"/>
                    </w:rPr>
                    <w:t>will be monitored</w:t>
                  </w:r>
                  <w:proofErr w:type="gramEnd"/>
                  <w:r w:rsidR="00107390" w:rsidRPr="00A36FF6">
                    <w:rPr>
                      <w:color w:val="000000"/>
                    </w:rPr>
                    <w:t xml:space="preserve"> constantly to assure that all the organizations included on it are reporting the data as planned. The advantage of working with technology companies is their ability to collect information in </w:t>
                  </w:r>
                  <w:r w:rsidR="00C73BA8" w:rsidRPr="00A36FF6">
                    <w:rPr>
                      <w:color w:val="000000"/>
                    </w:rPr>
                    <w:t>real-time</w:t>
                  </w:r>
                  <w:r w:rsidR="00107390" w:rsidRPr="00A36FF6">
                    <w:rPr>
                      <w:color w:val="000000"/>
                    </w:rPr>
                    <w:t xml:space="preserve"> or quasi real-time. Performance information in terms of service provision </w:t>
                  </w:r>
                  <w:proofErr w:type="gramStart"/>
                  <w:r w:rsidR="00107390" w:rsidRPr="00A36FF6">
                    <w:rPr>
                      <w:color w:val="000000"/>
                    </w:rPr>
                    <w:t>will be requested and formalized in a financial agreement</w:t>
                  </w:r>
                  <w:proofErr w:type="gramEnd"/>
                  <w:r w:rsidR="00107390" w:rsidRPr="00A36FF6">
                    <w:rPr>
                      <w:color w:val="000000"/>
                    </w:rPr>
                    <w:t xml:space="preserve">. </w:t>
                  </w:r>
                  <w:r w:rsidR="00C73BA8" w:rsidRPr="00A36FF6">
                    <w:rPr>
                      <w:color w:val="000000"/>
                    </w:rPr>
                    <w:t>The information</w:t>
                  </w:r>
                  <w:r w:rsidR="00107390" w:rsidRPr="00A36FF6">
                    <w:rPr>
                      <w:color w:val="000000"/>
                    </w:rPr>
                    <w:t xml:space="preserve"> </w:t>
                  </w:r>
                  <w:proofErr w:type="gramStart"/>
                  <w:r w:rsidR="00107390" w:rsidRPr="00A36FF6">
                    <w:rPr>
                      <w:color w:val="000000"/>
                    </w:rPr>
                    <w:t>collected and the knowledge created during the grant execution period will be systematized</w:t>
                  </w:r>
                  <w:proofErr w:type="gramEnd"/>
                  <w:r w:rsidR="00107390" w:rsidRPr="00A36FF6">
                    <w:rPr>
                      <w:color w:val="000000"/>
                    </w:rPr>
                    <w:t xml:space="preserve"> and process into a document where all lessons learned will be described as well as the best ways to integrate the data and new learning into IFAD operations.</w:t>
                  </w:r>
                  <w:r w:rsidR="00CE19B8">
                    <w:rPr>
                      <w:color w:val="000000"/>
                    </w:rPr>
                    <w:t xml:space="preserve"> </w:t>
                  </w:r>
                </w:p>
              </w:tc>
            </w:tr>
            <w:tr w:rsidR="004F1971" w:rsidRPr="00A36FF6" w14:paraId="33366AA5" w14:textId="77777777" w:rsidTr="00905512">
              <w:trPr>
                <w:trHeight w:val="20"/>
              </w:trPr>
              <w:tc>
                <w:tcPr>
                  <w:tcW w:w="9385" w:type="dxa"/>
                  <w:gridSpan w:val="2"/>
                </w:tcPr>
                <w:p w14:paraId="33366AA4" w14:textId="77777777" w:rsidR="00A36FF6" w:rsidRPr="00A36FF6" w:rsidRDefault="009E7B9B" w:rsidP="00A36FF6">
                  <w:pPr>
                    <w:pStyle w:val="ListParagraph"/>
                    <w:ind w:left="0"/>
                    <w:contextualSpacing w:val="0"/>
                    <w:jc w:val="both"/>
                    <w:rPr>
                      <w:color w:val="000000"/>
                    </w:rPr>
                  </w:pPr>
                  <w:r w:rsidRPr="00A36FF6">
                    <w:rPr>
                      <w:b/>
                      <w:bCs/>
                    </w:rPr>
                    <w:t>20</w:t>
                  </w:r>
                  <w:r w:rsidR="00020753" w:rsidRPr="00A36FF6">
                    <w:rPr>
                      <w:b/>
                      <w:bCs/>
                    </w:rPr>
                    <w:t xml:space="preserve">. </w:t>
                  </w:r>
                  <w:r w:rsidR="004F1971" w:rsidRPr="00A36FF6">
                    <w:rPr>
                      <w:b/>
                      <w:bCs/>
                    </w:rPr>
                    <w:t xml:space="preserve">Supervision modalities: </w:t>
                  </w:r>
                  <w:r w:rsidR="008D2F63" w:rsidRPr="00A36FF6">
                    <w:rPr>
                      <w:color w:val="000000"/>
                    </w:rPr>
                    <w:t xml:space="preserve">The supervision </w:t>
                  </w:r>
                  <w:proofErr w:type="gramStart"/>
                  <w:r w:rsidR="008D2F63" w:rsidRPr="00A36FF6">
                    <w:rPr>
                      <w:color w:val="000000"/>
                    </w:rPr>
                    <w:t>will be carried out</w:t>
                  </w:r>
                  <w:proofErr w:type="gramEnd"/>
                  <w:r w:rsidR="008D2F63" w:rsidRPr="00A36FF6">
                    <w:rPr>
                      <w:color w:val="000000"/>
                    </w:rPr>
                    <w:t xml:space="preserve"> in strong coordination with the CPMs of the countries involved in the grant. </w:t>
                  </w:r>
                  <w:proofErr w:type="gramStart"/>
                  <w:r w:rsidR="008D2F63" w:rsidRPr="00A36FF6">
                    <w:rPr>
                      <w:color w:val="000000"/>
                    </w:rPr>
                    <w:t>Implementation progress will be directly monitor and supervise</w:t>
                  </w:r>
                  <w:r w:rsidR="0099372D">
                    <w:rPr>
                      <w:color w:val="000000"/>
                    </w:rPr>
                    <w:t>d</w:t>
                  </w:r>
                  <w:r w:rsidR="008D2F63" w:rsidRPr="00A36FF6">
                    <w:rPr>
                      <w:color w:val="000000"/>
                    </w:rPr>
                    <w:t xml:space="preserve"> by PMI staff in the context of their mission to the participant countries</w:t>
                  </w:r>
                  <w:r w:rsidR="00EE1B3F" w:rsidRPr="00A36FF6">
                    <w:rPr>
                      <w:color w:val="000000"/>
                    </w:rPr>
                    <w:t xml:space="preserve"> and with a close collaboration with PMD staff, </w:t>
                  </w:r>
                  <w:r w:rsidR="00C73BA8" w:rsidRPr="00A36FF6">
                    <w:rPr>
                      <w:color w:val="000000"/>
                    </w:rPr>
                    <w:t>especially</w:t>
                  </w:r>
                  <w:r w:rsidR="00EE1B3F" w:rsidRPr="00A36FF6">
                    <w:rPr>
                      <w:color w:val="000000"/>
                    </w:rPr>
                    <w:t xml:space="preserve"> CPM's.</w:t>
                  </w:r>
                  <w:proofErr w:type="gramEnd"/>
                  <w:r w:rsidR="00EE1B3F" w:rsidRPr="00A36FF6">
                    <w:rPr>
                      <w:color w:val="000000"/>
                    </w:rPr>
                    <w:t xml:space="preserve"> </w:t>
                  </w:r>
                  <w:r w:rsidR="008D2F63" w:rsidRPr="00A36FF6">
                    <w:rPr>
                      <w:color w:val="000000"/>
                    </w:rPr>
                    <w:t>Regular supervision and backstopping will take place in conjunction with missions for loan projects.</w:t>
                  </w:r>
                  <w:r w:rsidR="00EE1B3F" w:rsidRPr="00A36FF6">
                    <w:rPr>
                      <w:color w:val="000000"/>
                    </w:rPr>
                    <w:t xml:space="preserve"> Resources for supervision </w:t>
                  </w:r>
                  <w:proofErr w:type="gramStart"/>
                  <w:r w:rsidR="00EE1B3F" w:rsidRPr="00A36FF6">
                    <w:rPr>
                      <w:color w:val="000000"/>
                    </w:rPr>
                    <w:t>will be earmarked</w:t>
                  </w:r>
                  <w:proofErr w:type="gramEnd"/>
                  <w:r w:rsidR="00EE1B3F" w:rsidRPr="00A36FF6">
                    <w:rPr>
                      <w:color w:val="000000"/>
                    </w:rPr>
                    <w:t>.</w:t>
                  </w:r>
                </w:p>
              </w:tc>
            </w:tr>
            <w:tr w:rsidR="00C47BBA" w:rsidRPr="00A36FF6" w14:paraId="33366AA7" w14:textId="77777777" w:rsidTr="00905512">
              <w:trPr>
                <w:trHeight w:val="20"/>
              </w:trPr>
              <w:tc>
                <w:tcPr>
                  <w:tcW w:w="9385" w:type="dxa"/>
                  <w:gridSpan w:val="2"/>
                </w:tcPr>
                <w:p w14:paraId="33366AA6" w14:textId="77777777" w:rsidR="00A36FF6" w:rsidRPr="00A36FF6" w:rsidRDefault="00020753" w:rsidP="00894467">
                  <w:pPr>
                    <w:pStyle w:val="ListParagraph"/>
                    <w:ind w:left="0"/>
                    <w:contextualSpacing w:val="0"/>
                    <w:jc w:val="both"/>
                    <w:rPr>
                      <w:rFonts w:asciiTheme="minorBidi" w:hAnsiTheme="minorBidi"/>
                    </w:rPr>
                  </w:pPr>
                  <w:r w:rsidRPr="00A36FF6">
                    <w:rPr>
                      <w:b/>
                      <w:bCs/>
                    </w:rPr>
                    <w:t>2</w:t>
                  </w:r>
                  <w:r w:rsidR="009E7B9B" w:rsidRPr="00A36FF6">
                    <w:rPr>
                      <w:b/>
                      <w:bCs/>
                    </w:rPr>
                    <w:t>1</w:t>
                  </w:r>
                  <w:r w:rsidRPr="00A36FF6">
                    <w:rPr>
                      <w:b/>
                      <w:bCs/>
                    </w:rPr>
                    <w:t xml:space="preserve">. </w:t>
                  </w:r>
                  <w:r w:rsidR="00C47BBA" w:rsidRPr="00A36FF6">
                    <w:rPr>
                      <w:b/>
                      <w:bCs/>
                    </w:rPr>
                    <w:t>Linkages</w:t>
                  </w:r>
                  <w:r w:rsidR="00C47BBA" w:rsidRPr="00A36FF6">
                    <w:t xml:space="preserve">: </w:t>
                  </w:r>
                  <w:r w:rsidR="001E32C7" w:rsidRPr="00A36FF6">
                    <w:rPr>
                      <w:iCs/>
                    </w:rPr>
                    <w:t xml:space="preserve">The </w:t>
                  </w:r>
                  <w:r w:rsidR="00FF7441" w:rsidRPr="00A36FF6">
                    <w:rPr>
                      <w:iCs/>
                    </w:rPr>
                    <w:t xml:space="preserve">grant </w:t>
                  </w:r>
                  <w:proofErr w:type="gramStart"/>
                  <w:r w:rsidR="001E32C7" w:rsidRPr="00A36FF6">
                    <w:rPr>
                      <w:iCs/>
                    </w:rPr>
                    <w:t>is jointly proposed</w:t>
                  </w:r>
                  <w:proofErr w:type="gramEnd"/>
                  <w:r w:rsidR="001E32C7" w:rsidRPr="00A36FF6">
                    <w:rPr>
                      <w:iCs/>
                    </w:rPr>
                    <w:t xml:space="preserve"> by PMI</w:t>
                  </w:r>
                  <w:r w:rsidR="00A33E7A">
                    <w:rPr>
                      <w:iCs/>
                    </w:rPr>
                    <w:t>, PRM</w:t>
                  </w:r>
                  <w:r w:rsidR="001E32C7" w:rsidRPr="00A36FF6">
                    <w:rPr>
                      <w:iCs/>
                    </w:rPr>
                    <w:t xml:space="preserve"> and LAC, and </w:t>
                  </w:r>
                  <w:r w:rsidR="00531A7E" w:rsidRPr="00A36FF6">
                    <w:rPr>
                      <w:iCs/>
                    </w:rPr>
                    <w:t>is expected to link private sector companies</w:t>
                  </w:r>
                  <w:r w:rsidR="001E32C7" w:rsidRPr="00A36FF6">
                    <w:rPr>
                      <w:iCs/>
                    </w:rPr>
                    <w:t xml:space="preserve"> (Fintech/A</w:t>
                  </w:r>
                  <w:r w:rsidR="00531A7E" w:rsidRPr="00A36FF6">
                    <w:rPr>
                      <w:iCs/>
                    </w:rPr>
                    <w:t xml:space="preserve">gritech companies) that provide services to smallholder farmers in the context of IFAD projects. It </w:t>
                  </w:r>
                  <w:proofErr w:type="gramStart"/>
                  <w:r w:rsidR="00531A7E" w:rsidRPr="00A36FF6">
                    <w:rPr>
                      <w:iCs/>
                    </w:rPr>
                    <w:t>will be articulated</w:t>
                  </w:r>
                  <w:proofErr w:type="gramEnd"/>
                  <w:r w:rsidR="00531A7E" w:rsidRPr="00A36FF6">
                    <w:rPr>
                      <w:iCs/>
                    </w:rPr>
                    <w:t xml:space="preserve"> with </w:t>
                  </w:r>
                  <w:r w:rsidR="001E32C7" w:rsidRPr="00A36FF6">
                    <w:rPr>
                      <w:iCs/>
                    </w:rPr>
                    <w:t xml:space="preserve">IFAD projects in </w:t>
                  </w:r>
                  <w:r w:rsidR="00531A7E" w:rsidRPr="00A36FF6">
                    <w:rPr>
                      <w:iCs/>
                    </w:rPr>
                    <w:t>at least 5 countries</w:t>
                  </w:r>
                  <w:r w:rsidR="00894467">
                    <w:rPr>
                      <w:iCs/>
                    </w:rPr>
                    <w:t xml:space="preserve">. Some of the potential countries </w:t>
                  </w:r>
                  <w:proofErr w:type="gramStart"/>
                  <w:r w:rsidR="00894467">
                    <w:rPr>
                      <w:iCs/>
                    </w:rPr>
                    <w:t>are:</w:t>
                  </w:r>
                  <w:proofErr w:type="gramEnd"/>
                  <w:r w:rsidR="00894467">
                    <w:rPr>
                      <w:iCs/>
                    </w:rPr>
                    <w:t xml:space="preserve"> </w:t>
                  </w:r>
                  <w:r w:rsidR="001E32C7" w:rsidRPr="00A36FF6">
                    <w:rPr>
                      <w:iCs/>
                    </w:rPr>
                    <w:t>In Argentina, PRODERI and PRODECA, i</w:t>
                  </w:r>
                  <w:r w:rsidR="00531A7E" w:rsidRPr="00A36FF6">
                    <w:rPr>
                      <w:iCs/>
                    </w:rPr>
                    <w:t>n Bolivia,</w:t>
                  </w:r>
                  <w:r w:rsidR="001E32C7" w:rsidRPr="00A36FF6">
                    <w:rPr>
                      <w:iCs/>
                    </w:rPr>
                    <w:t xml:space="preserve"> </w:t>
                  </w:r>
                  <w:r w:rsidR="00531A7E" w:rsidRPr="00A36FF6">
                    <w:rPr>
                      <w:iCs/>
                    </w:rPr>
                    <w:t>ASOCIOS and CAMBIOSUR projects; in</w:t>
                  </w:r>
                  <w:r w:rsidR="00894467">
                    <w:rPr>
                      <w:iCs/>
                    </w:rPr>
                    <w:t xml:space="preserve"> Peru, the new project under design; in </w:t>
                  </w:r>
                  <w:r w:rsidR="00531A7E" w:rsidRPr="00A36FF6">
                    <w:rPr>
                      <w:iCs/>
                    </w:rPr>
                    <w:t xml:space="preserve">Honduras, </w:t>
                  </w:r>
                  <w:r w:rsidR="001E32C7" w:rsidRPr="00A36FF6">
                    <w:rPr>
                      <w:iCs/>
                    </w:rPr>
                    <w:t xml:space="preserve">PRO LENCA and </w:t>
                  </w:r>
                  <w:r w:rsidR="00531A7E" w:rsidRPr="00A36FF6">
                    <w:rPr>
                      <w:iCs/>
                    </w:rPr>
                    <w:t>the new PROINORTE program</w:t>
                  </w:r>
                  <w:r w:rsidR="00C73BA8" w:rsidRPr="00A36FF6">
                    <w:rPr>
                      <w:iCs/>
                    </w:rPr>
                    <w:t>;</w:t>
                  </w:r>
                  <w:r w:rsidR="00531A7E" w:rsidRPr="00A36FF6">
                    <w:rPr>
                      <w:iCs/>
                    </w:rPr>
                    <w:t xml:space="preserve"> </w:t>
                  </w:r>
                  <w:r w:rsidR="001E32C7" w:rsidRPr="00A36FF6">
                    <w:rPr>
                      <w:iCs/>
                    </w:rPr>
                    <w:t>in Nicaragua,</w:t>
                  </w:r>
                  <w:r w:rsidR="00894467">
                    <w:rPr>
                      <w:iCs/>
                    </w:rPr>
                    <w:t xml:space="preserve"> the new project under design </w:t>
                  </w:r>
                  <w:r w:rsidR="001E32C7" w:rsidRPr="00A36FF6">
                    <w:rPr>
                      <w:iCs/>
                    </w:rPr>
                    <w:t xml:space="preserve">NICAPESCA, and in El Salvador, RURAL ADELANTE and AMANECER RURAL. These countries all have VC projects that benefit a large number of producer organizations and </w:t>
                  </w:r>
                  <w:r w:rsidR="00FF7441" w:rsidRPr="00A36FF6">
                    <w:rPr>
                      <w:iCs/>
                    </w:rPr>
                    <w:t xml:space="preserve">some of them </w:t>
                  </w:r>
                  <w:r w:rsidR="001E32C7" w:rsidRPr="00A36FF6">
                    <w:rPr>
                      <w:iCs/>
                    </w:rPr>
                    <w:t>already have funding for developing or extending existing mobile technology platforms</w:t>
                  </w:r>
                  <w:r w:rsidR="00FF7441" w:rsidRPr="00A36FF6">
                    <w:rPr>
                      <w:iCs/>
                    </w:rPr>
                    <w:t xml:space="preserve"> and services</w:t>
                  </w:r>
                  <w:r w:rsidR="001E32C7" w:rsidRPr="00A36FF6">
                    <w:rPr>
                      <w:iCs/>
                    </w:rPr>
                    <w:t xml:space="preserve">. However, these projects currently lack resources to support the uptake and adoption of the technology by private sector players in particular. This grant will focus on building out those partnerships with the private sector and then building their capacity and that of producer organizations to link to </w:t>
                  </w:r>
                  <w:r w:rsidR="00FF7441" w:rsidRPr="00A36FF6">
                    <w:rPr>
                      <w:iCs/>
                    </w:rPr>
                    <w:t>new services.</w:t>
                  </w:r>
                  <w:r w:rsidR="00FF7441" w:rsidRPr="00A36FF6">
                    <w:rPr>
                      <w:rFonts w:asciiTheme="minorBidi" w:hAnsiTheme="minorBidi"/>
                    </w:rPr>
                    <w:t xml:space="preserve"> </w:t>
                  </w:r>
                </w:p>
              </w:tc>
            </w:tr>
            <w:tr w:rsidR="00C47BBA" w:rsidRPr="00A36FF6" w14:paraId="33366AA9" w14:textId="77777777" w:rsidTr="00905512">
              <w:trPr>
                <w:trHeight w:val="20"/>
              </w:trPr>
              <w:tc>
                <w:tcPr>
                  <w:tcW w:w="9385" w:type="dxa"/>
                  <w:gridSpan w:val="2"/>
                </w:tcPr>
                <w:p w14:paraId="33366AA8" w14:textId="77777777" w:rsidR="00A36FF6" w:rsidRPr="00A36FF6" w:rsidRDefault="00020753" w:rsidP="00EB5BC2">
                  <w:pPr>
                    <w:pStyle w:val="ListParagraph"/>
                    <w:ind w:left="0"/>
                    <w:contextualSpacing w:val="0"/>
                    <w:jc w:val="both"/>
                    <w:rPr>
                      <w:iCs/>
                    </w:rPr>
                  </w:pPr>
                  <w:r w:rsidRPr="00A36FF6">
                    <w:rPr>
                      <w:b/>
                      <w:bCs/>
                    </w:rPr>
                    <w:t>2</w:t>
                  </w:r>
                  <w:r w:rsidR="009E7B9B" w:rsidRPr="00A36FF6">
                    <w:rPr>
                      <w:b/>
                      <w:bCs/>
                    </w:rPr>
                    <w:t>2</w:t>
                  </w:r>
                  <w:r w:rsidRPr="00A36FF6">
                    <w:rPr>
                      <w:b/>
                      <w:bCs/>
                    </w:rPr>
                    <w:t xml:space="preserve">. </w:t>
                  </w:r>
                  <w:r w:rsidR="00C47BBA" w:rsidRPr="00A36FF6">
                    <w:rPr>
                      <w:b/>
                      <w:bCs/>
                    </w:rPr>
                    <w:t>Scaling up:</w:t>
                  </w:r>
                  <w:r w:rsidR="00E47815" w:rsidRPr="00A36FF6">
                    <w:rPr>
                      <w:b/>
                      <w:bCs/>
                    </w:rPr>
                    <w:t xml:space="preserve"> </w:t>
                  </w:r>
                  <w:r w:rsidR="00EB5BC2">
                    <w:rPr>
                      <w:b/>
                      <w:bCs/>
                    </w:rPr>
                    <w:t xml:space="preserve">Grant activities foresee scaling up the engagement of </w:t>
                  </w:r>
                  <w:r w:rsidR="00FF7441" w:rsidRPr="00A36FF6">
                    <w:rPr>
                      <w:color w:val="000000"/>
                    </w:rPr>
                    <w:t>private sector companies that leverage the use of ICT to connect smallholders to more and better markets as well as to new financial and non- financial services in 5 countries in LAC</w:t>
                  </w:r>
                  <w:r w:rsidR="00EB5BC2">
                    <w:rPr>
                      <w:color w:val="000000"/>
                    </w:rPr>
                    <w:t xml:space="preserve">. Furthermore, the </w:t>
                  </w:r>
                  <w:r w:rsidR="00FF7441" w:rsidRPr="00A36FF6">
                    <w:rPr>
                      <w:iCs/>
                    </w:rPr>
                    <w:t xml:space="preserve">possibilities to scale up the results </w:t>
                  </w:r>
                  <w:r w:rsidR="002610DA" w:rsidRPr="00A36FF6">
                    <w:rPr>
                      <w:iCs/>
                    </w:rPr>
                    <w:t xml:space="preserve">to other countries </w:t>
                  </w:r>
                  <w:r w:rsidR="00FF7441" w:rsidRPr="00A36FF6">
                    <w:rPr>
                      <w:iCs/>
                    </w:rPr>
                    <w:t>are enormous as 75% of IFAD portfolio includes value chain projects and consequently POs that require better access to market and financial/and non-financial services.</w:t>
                  </w:r>
                </w:p>
              </w:tc>
            </w:tr>
            <w:tr w:rsidR="00381203" w:rsidRPr="00A36FF6" w14:paraId="33366AAB" w14:textId="77777777" w:rsidTr="00905512">
              <w:trPr>
                <w:trHeight w:val="20"/>
              </w:trPr>
              <w:tc>
                <w:tcPr>
                  <w:tcW w:w="9385" w:type="dxa"/>
                  <w:gridSpan w:val="2"/>
                </w:tcPr>
                <w:p w14:paraId="33366AAA" w14:textId="77777777" w:rsidR="00A36FF6" w:rsidRPr="00A36FF6" w:rsidRDefault="00020753" w:rsidP="00CE19B8">
                  <w:pPr>
                    <w:pStyle w:val="ListParagraph"/>
                    <w:ind w:left="0"/>
                    <w:contextualSpacing w:val="0"/>
                    <w:jc w:val="both"/>
                    <w:rPr>
                      <w:color w:val="000000"/>
                    </w:rPr>
                  </w:pPr>
                  <w:r w:rsidRPr="00A36FF6">
                    <w:rPr>
                      <w:b/>
                      <w:bCs/>
                    </w:rPr>
                    <w:t>2</w:t>
                  </w:r>
                  <w:r w:rsidR="009E7B9B" w:rsidRPr="00A36FF6">
                    <w:rPr>
                      <w:b/>
                      <w:bCs/>
                    </w:rPr>
                    <w:t>3</w:t>
                  </w:r>
                  <w:r w:rsidRPr="00A36FF6">
                    <w:rPr>
                      <w:b/>
                      <w:bCs/>
                    </w:rPr>
                    <w:t xml:space="preserve">. </w:t>
                  </w:r>
                  <w:r w:rsidR="00381203" w:rsidRPr="00A36FF6">
                    <w:rPr>
                      <w:b/>
                      <w:bCs/>
                    </w:rPr>
                    <w:t xml:space="preserve">Sustainability: </w:t>
                  </w:r>
                  <w:r w:rsidR="002610DA" w:rsidRPr="00A36FF6">
                    <w:rPr>
                      <w:color w:val="000000"/>
                    </w:rPr>
                    <w:t xml:space="preserve">The grant will establish new </w:t>
                  </w:r>
                  <w:r w:rsidR="00F34E8B" w:rsidRPr="00A36FF6">
                    <w:rPr>
                      <w:color w:val="000000"/>
                    </w:rPr>
                    <w:t xml:space="preserve">business relationships </w:t>
                  </w:r>
                  <w:r w:rsidR="002610DA" w:rsidRPr="00A36FF6">
                    <w:rPr>
                      <w:color w:val="000000"/>
                    </w:rPr>
                    <w:t xml:space="preserve">between private sector actors and POs, enabling </w:t>
                  </w:r>
                  <w:proofErr w:type="gramStart"/>
                  <w:r w:rsidR="002610DA" w:rsidRPr="00A36FF6">
                    <w:rPr>
                      <w:color w:val="000000"/>
                    </w:rPr>
                    <w:t xml:space="preserve">more </w:t>
                  </w:r>
                  <w:r w:rsidR="00F34E8B" w:rsidRPr="00A36FF6">
                    <w:rPr>
                      <w:color w:val="000000"/>
                    </w:rPr>
                    <w:t xml:space="preserve">adequate services </w:t>
                  </w:r>
                  <w:r w:rsidR="002610DA" w:rsidRPr="00A36FF6">
                    <w:rPr>
                      <w:color w:val="000000"/>
                    </w:rPr>
                    <w:t>that use technology to overcome information asymmetries,</w:t>
                  </w:r>
                  <w:proofErr w:type="gramEnd"/>
                  <w:r w:rsidR="002610DA" w:rsidRPr="00A36FF6">
                    <w:rPr>
                      <w:color w:val="000000"/>
                    </w:rPr>
                    <w:t xml:space="preserve"> promote greater trust between chain</w:t>
                  </w:r>
                  <w:r w:rsidR="00F34E8B" w:rsidRPr="00A36FF6">
                    <w:rPr>
                      <w:color w:val="000000"/>
                    </w:rPr>
                    <w:t xml:space="preserve"> actors, and drive efficiencies in the provision of services. </w:t>
                  </w:r>
                  <w:r w:rsidR="00D70A4E" w:rsidRPr="00A36FF6">
                    <w:rPr>
                      <w:color w:val="000000"/>
                    </w:rPr>
                    <w:t xml:space="preserve">Sustainability </w:t>
                  </w:r>
                  <w:proofErr w:type="gramStart"/>
                  <w:r w:rsidR="00D70A4E" w:rsidRPr="00A36FF6">
                    <w:rPr>
                      <w:color w:val="000000"/>
                    </w:rPr>
                    <w:t>is ensured</w:t>
                  </w:r>
                  <w:proofErr w:type="gramEnd"/>
                  <w:r w:rsidR="00D70A4E" w:rsidRPr="00A36FF6">
                    <w:rPr>
                      <w:color w:val="000000"/>
                    </w:rPr>
                    <w:t xml:space="preserve"> by the fact that t</w:t>
                  </w:r>
                  <w:r w:rsidR="002610DA" w:rsidRPr="00A36FF6">
                    <w:rPr>
                      <w:color w:val="000000"/>
                    </w:rPr>
                    <w:t>h</w:t>
                  </w:r>
                  <w:r w:rsidR="00D70A4E" w:rsidRPr="00A36FF6">
                    <w:rPr>
                      <w:color w:val="000000"/>
                    </w:rPr>
                    <w:t>is g</w:t>
                  </w:r>
                  <w:r w:rsidR="002610DA" w:rsidRPr="00A36FF6">
                    <w:rPr>
                      <w:color w:val="000000"/>
                    </w:rPr>
                    <w:t xml:space="preserve">rant </w:t>
                  </w:r>
                  <w:r w:rsidR="00D70A4E" w:rsidRPr="00A36FF6">
                    <w:rPr>
                      <w:color w:val="000000"/>
                    </w:rPr>
                    <w:t>builds up on the business model</w:t>
                  </w:r>
                  <w:r w:rsidR="00B564B7" w:rsidRPr="00A36FF6">
                    <w:rPr>
                      <w:color w:val="000000"/>
                    </w:rPr>
                    <w:t>s</w:t>
                  </w:r>
                  <w:r w:rsidR="00D70A4E" w:rsidRPr="00A36FF6">
                    <w:rPr>
                      <w:color w:val="000000"/>
                    </w:rPr>
                    <w:t xml:space="preserve"> of successful companies that will have the ability to continuously provide services </w:t>
                  </w:r>
                  <w:r w:rsidR="002610DA" w:rsidRPr="00A36FF6">
                    <w:rPr>
                      <w:color w:val="000000"/>
                    </w:rPr>
                    <w:t>in the future</w:t>
                  </w:r>
                  <w:r w:rsidR="00B564B7" w:rsidRPr="00A36FF6">
                    <w:rPr>
                      <w:color w:val="000000"/>
                    </w:rPr>
                    <w:t xml:space="preserve"> </w:t>
                  </w:r>
                  <w:r w:rsidR="00D77B9D" w:rsidRPr="00A36FF6">
                    <w:rPr>
                      <w:color w:val="000000"/>
                    </w:rPr>
                    <w:t>respond</w:t>
                  </w:r>
                  <w:r w:rsidR="005163C8" w:rsidRPr="00A36FF6">
                    <w:rPr>
                      <w:color w:val="000000"/>
                    </w:rPr>
                    <w:t xml:space="preserve">ing </w:t>
                  </w:r>
                  <w:r w:rsidR="00D77B9D" w:rsidRPr="00A36FF6">
                    <w:rPr>
                      <w:color w:val="000000"/>
                    </w:rPr>
                    <w:t>the needs of farmers</w:t>
                  </w:r>
                  <w:r w:rsidR="005163C8" w:rsidRPr="00A36FF6">
                    <w:rPr>
                      <w:color w:val="000000"/>
                    </w:rPr>
                    <w:t xml:space="preserve"> and their institutions. </w:t>
                  </w:r>
                  <w:r w:rsidR="002610DA" w:rsidRPr="00A36FF6">
                    <w:rPr>
                      <w:color w:val="000000"/>
                    </w:rPr>
                    <w:t xml:space="preserve">The </w:t>
                  </w:r>
                  <w:r w:rsidR="00CE19B8">
                    <w:rPr>
                      <w:color w:val="000000"/>
                    </w:rPr>
                    <w:t xml:space="preserve">grantee </w:t>
                  </w:r>
                  <w:r w:rsidR="002610DA" w:rsidRPr="00A36FF6">
                    <w:rPr>
                      <w:color w:val="000000"/>
                    </w:rPr>
                    <w:t xml:space="preserve">will provide </w:t>
                  </w:r>
                  <w:r w:rsidR="005163C8" w:rsidRPr="00A36FF6">
                    <w:rPr>
                      <w:color w:val="000000"/>
                    </w:rPr>
                    <w:t xml:space="preserve">continuous </w:t>
                  </w:r>
                  <w:r w:rsidR="002610DA" w:rsidRPr="00A36FF6">
                    <w:rPr>
                      <w:color w:val="000000"/>
                    </w:rPr>
                    <w:t>technical</w:t>
                  </w:r>
                  <w:r w:rsidR="005163C8" w:rsidRPr="00A36FF6">
                    <w:rPr>
                      <w:color w:val="000000"/>
                    </w:rPr>
                    <w:t xml:space="preserve"> support and will help the Fintech/Agritech companies to get additional financing to consolidate and expand their operations</w:t>
                  </w:r>
                  <w:r w:rsidR="00CE19B8">
                    <w:rPr>
                      <w:color w:val="000000"/>
                    </w:rPr>
                    <w:t xml:space="preserve"> as part of the scale up phase.</w:t>
                  </w:r>
                  <w:r w:rsidR="005163C8" w:rsidRPr="00A36FF6">
                    <w:rPr>
                      <w:color w:val="000000"/>
                    </w:rPr>
                    <w:t xml:space="preserve"> </w:t>
                  </w:r>
                </w:p>
              </w:tc>
            </w:tr>
            <w:tr w:rsidR="0076792C" w:rsidRPr="00A36FF6" w14:paraId="33366AAD" w14:textId="77777777" w:rsidTr="00905512">
              <w:trPr>
                <w:trHeight w:val="20"/>
              </w:trPr>
              <w:tc>
                <w:tcPr>
                  <w:tcW w:w="9385" w:type="dxa"/>
                  <w:gridSpan w:val="2"/>
                </w:tcPr>
                <w:p w14:paraId="33366AAC" w14:textId="77777777" w:rsidR="00A36FF6" w:rsidRPr="00A36FF6" w:rsidRDefault="009E7B9B" w:rsidP="00A36FF6">
                  <w:pPr>
                    <w:pStyle w:val="ListParagraph"/>
                    <w:ind w:left="0"/>
                    <w:contextualSpacing w:val="0"/>
                    <w:jc w:val="both"/>
                    <w:rPr>
                      <w:color w:val="000000"/>
                    </w:rPr>
                  </w:pPr>
                  <w:r w:rsidRPr="00A36FF6">
                    <w:rPr>
                      <w:b/>
                      <w:bCs/>
                    </w:rPr>
                    <w:lastRenderedPageBreak/>
                    <w:t>24</w:t>
                  </w:r>
                  <w:r w:rsidR="00020753" w:rsidRPr="00A36FF6">
                    <w:rPr>
                      <w:b/>
                      <w:bCs/>
                    </w:rPr>
                    <w:t xml:space="preserve">. </w:t>
                  </w:r>
                  <w:r w:rsidR="0076792C" w:rsidRPr="00A36FF6">
                    <w:rPr>
                      <w:b/>
                      <w:bCs/>
                    </w:rPr>
                    <w:t>Other aspects:</w:t>
                  </w:r>
                  <w:r w:rsidR="00BA0D43" w:rsidRPr="00A36FF6">
                    <w:rPr>
                      <w:color w:val="000000"/>
                    </w:rPr>
                    <w:t xml:space="preserve"> This grant will provide IFAD with an innovative intervention approach to link private sector to its portfolio of loans. It will articulate with programs in at least 5 countries of intervention, and could generate services that IFAD will be able to use in other programs at the global level. Furthermore, </w:t>
                  </w:r>
                  <w:r w:rsidR="002610DA" w:rsidRPr="00A36FF6">
                    <w:rPr>
                      <w:color w:val="000000"/>
                    </w:rPr>
                    <w:t xml:space="preserve">IFAD had successfully set-up a new investment mechanism (ABC Fund) </w:t>
                  </w:r>
                  <w:proofErr w:type="gramStart"/>
                  <w:r w:rsidR="002610DA" w:rsidRPr="00A36FF6">
                    <w:rPr>
                      <w:color w:val="000000"/>
                    </w:rPr>
                    <w:t>to directly finance</w:t>
                  </w:r>
                  <w:proofErr w:type="gramEnd"/>
                  <w:r w:rsidR="002610DA" w:rsidRPr="00A36FF6">
                    <w:rPr>
                      <w:color w:val="000000"/>
                    </w:rPr>
                    <w:t xml:space="preserve"> private sector companies. This Fund could invest </w:t>
                  </w:r>
                  <w:r w:rsidR="00BA0D43" w:rsidRPr="00A36FF6">
                    <w:rPr>
                      <w:color w:val="000000"/>
                    </w:rPr>
                    <w:t xml:space="preserve">in the future </w:t>
                  </w:r>
                  <w:r w:rsidR="002610DA" w:rsidRPr="00A36FF6">
                    <w:rPr>
                      <w:color w:val="000000"/>
                    </w:rPr>
                    <w:t xml:space="preserve">in </w:t>
                  </w:r>
                  <w:r w:rsidR="00BA0D43" w:rsidRPr="00A36FF6">
                    <w:rPr>
                      <w:color w:val="000000"/>
                    </w:rPr>
                    <w:t xml:space="preserve">these </w:t>
                  </w:r>
                  <w:r w:rsidR="002610DA" w:rsidRPr="00A36FF6">
                    <w:rPr>
                      <w:color w:val="000000"/>
                    </w:rPr>
                    <w:t>Fintech/Agritech companies to allow them to expand their operations to other countries. IFAD is also developing the new private sector strategy that will allow IFAD to invest directly into private sector companies, either by providing equity or loans. The companies supported by this grant could be the first 10 investment of IFAD private sector window.</w:t>
                  </w:r>
                </w:p>
              </w:tc>
            </w:tr>
          </w:tbl>
          <w:p w14:paraId="33366AAE" w14:textId="77777777" w:rsidR="006C7AAD" w:rsidRPr="00A36FF6" w:rsidRDefault="006C7AAD" w:rsidP="002B1CC7">
            <w:pPr>
              <w:spacing w:after="120"/>
            </w:pPr>
          </w:p>
        </w:tc>
      </w:tr>
    </w:tbl>
    <w:p w14:paraId="33366AB0" w14:textId="77777777" w:rsidR="00233472" w:rsidRPr="00A36FF6" w:rsidRDefault="00233472" w:rsidP="00A36FF6">
      <w:pPr>
        <w:spacing w:after="0" w:line="240" w:lineRule="auto"/>
        <w:ind w:right="-755"/>
      </w:pPr>
    </w:p>
    <w:sectPr w:rsidR="00233472" w:rsidRPr="00A36F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66AB3" w14:textId="77777777" w:rsidR="00BE3DE3" w:rsidRDefault="00BE3DE3" w:rsidP="002649F5">
      <w:pPr>
        <w:spacing w:after="0" w:line="240" w:lineRule="auto"/>
      </w:pPr>
      <w:r>
        <w:separator/>
      </w:r>
    </w:p>
  </w:endnote>
  <w:endnote w:type="continuationSeparator" w:id="0">
    <w:p w14:paraId="33366AB4" w14:textId="77777777" w:rsidR="00BE3DE3" w:rsidRDefault="00BE3DE3" w:rsidP="0026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66AB1" w14:textId="77777777" w:rsidR="00BE3DE3" w:rsidRDefault="00BE3DE3" w:rsidP="002649F5">
      <w:pPr>
        <w:spacing w:after="0" w:line="240" w:lineRule="auto"/>
      </w:pPr>
      <w:r>
        <w:separator/>
      </w:r>
    </w:p>
  </w:footnote>
  <w:footnote w:type="continuationSeparator" w:id="0">
    <w:p w14:paraId="33366AB2" w14:textId="77777777" w:rsidR="00BE3DE3" w:rsidRDefault="00BE3DE3" w:rsidP="002649F5">
      <w:pPr>
        <w:spacing w:after="0" w:line="240" w:lineRule="auto"/>
      </w:pPr>
      <w:r>
        <w:continuationSeparator/>
      </w:r>
    </w:p>
  </w:footnote>
  <w:footnote w:id="1">
    <w:p w14:paraId="33366AB5" w14:textId="77777777" w:rsidR="00D23320" w:rsidRPr="00704937" w:rsidRDefault="00D23320" w:rsidP="009135C2">
      <w:pPr>
        <w:pStyle w:val="FootnoteText"/>
        <w:rPr>
          <w:sz w:val="16"/>
          <w:szCs w:val="16"/>
        </w:rPr>
      </w:pPr>
      <w:r w:rsidRPr="000D4AFA">
        <w:footnoteRef/>
      </w:r>
      <w:r w:rsidRPr="00704937">
        <w:rPr>
          <w:sz w:val="16"/>
          <w:szCs w:val="16"/>
        </w:rPr>
        <w:t xml:space="preserve"> Interdivisional and interdepartmental collaboration is strongly encouraged. </w:t>
      </w:r>
    </w:p>
  </w:footnote>
  <w:footnote w:id="2">
    <w:p w14:paraId="33366AB6" w14:textId="77777777" w:rsidR="00531DE3" w:rsidRDefault="00531DE3" w:rsidP="000D4AFA">
      <w:pPr>
        <w:pStyle w:val="FootnoteText"/>
      </w:pPr>
      <w:r w:rsidRPr="009F3F6D">
        <w:footnoteRef/>
      </w:r>
      <w:r w:rsidRPr="000D4AFA">
        <w:rPr>
          <w:sz w:val="16"/>
          <w:szCs w:val="16"/>
        </w:rPr>
        <w:t xml:space="preserve"> </w:t>
      </w:r>
      <w:r w:rsidR="000D4AFA" w:rsidRPr="000D4AFA">
        <w:rPr>
          <w:sz w:val="16"/>
          <w:szCs w:val="16"/>
        </w:rPr>
        <w:t xml:space="preserve">The CPM of </w:t>
      </w:r>
      <w:proofErr w:type="gramStart"/>
      <w:r w:rsidR="000D4AFA" w:rsidRPr="000D4AFA">
        <w:rPr>
          <w:sz w:val="16"/>
          <w:szCs w:val="16"/>
        </w:rPr>
        <w:t>Argentina ,</w:t>
      </w:r>
      <w:proofErr w:type="gramEnd"/>
      <w:r w:rsidR="000D4AFA" w:rsidRPr="000D4AFA">
        <w:rPr>
          <w:sz w:val="16"/>
          <w:szCs w:val="16"/>
        </w:rPr>
        <w:t xml:space="preserve"> Paraguay, Uruguay. Bolivia and Honduras </w:t>
      </w:r>
      <w:proofErr w:type="gramStart"/>
      <w:r w:rsidR="000D4AFA" w:rsidRPr="000D4AFA">
        <w:rPr>
          <w:sz w:val="16"/>
          <w:szCs w:val="16"/>
        </w:rPr>
        <w:t>were consulted</w:t>
      </w:r>
      <w:proofErr w:type="gramEnd"/>
      <w:r w:rsidR="000D4AFA" w:rsidRPr="000D4AFA">
        <w:rPr>
          <w:sz w:val="16"/>
          <w:szCs w:val="16"/>
        </w:rPr>
        <w:t>.</w:t>
      </w:r>
    </w:p>
  </w:footnote>
  <w:footnote w:id="3">
    <w:p w14:paraId="33366AB7" w14:textId="77777777" w:rsidR="00D23320" w:rsidRDefault="00D23320" w:rsidP="009135C2">
      <w:pPr>
        <w:pStyle w:val="FootnoteText"/>
      </w:pPr>
      <w:r w:rsidRPr="009F3F6D">
        <w:rPr>
          <w:rStyle w:val="FootnoteReference"/>
        </w:rPr>
        <w:footnoteRef/>
      </w:r>
      <w:r w:rsidRPr="00704937">
        <w:rPr>
          <w:sz w:val="16"/>
          <w:szCs w:val="16"/>
        </w:rPr>
        <w:t xml:space="preserve"> The indication of a strategic priority only applies to Global/Regional grants.</w:t>
      </w:r>
      <w:r>
        <w:t xml:space="preserve"> </w:t>
      </w:r>
    </w:p>
  </w:footnote>
  <w:footnote w:id="4">
    <w:p w14:paraId="33366AB8" w14:textId="77777777" w:rsidR="000D4AFA" w:rsidRDefault="000D4AFA" w:rsidP="009F3F6D">
      <w:pPr>
        <w:pStyle w:val="FootnoteText"/>
      </w:pPr>
      <w:r>
        <w:rPr>
          <w:rStyle w:val="FootnoteReference"/>
        </w:rPr>
        <w:footnoteRef/>
      </w:r>
      <w:r>
        <w:t xml:space="preserve"> </w:t>
      </w:r>
      <w:r w:rsidRPr="009F3F6D">
        <w:rPr>
          <w:sz w:val="16"/>
          <w:szCs w:val="16"/>
        </w:rPr>
        <w:t xml:space="preserve">Selection criteria will be defined later but might include the following conditions: </w:t>
      </w:r>
      <w:proofErr w:type="spellStart"/>
      <w:r w:rsidRPr="009F3F6D">
        <w:rPr>
          <w:sz w:val="16"/>
          <w:szCs w:val="16"/>
        </w:rPr>
        <w:t>i</w:t>
      </w:r>
      <w:proofErr w:type="spellEnd"/>
      <w:r w:rsidRPr="009F3F6D">
        <w:rPr>
          <w:sz w:val="16"/>
          <w:szCs w:val="16"/>
        </w:rPr>
        <w:t xml:space="preserve">) Companies that have already developed a technology or app, and have a </w:t>
      </w:r>
      <w:r w:rsidR="009F3F6D" w:rsidRPr="009F3F6D">
        <w:rPr>
          <w:sz w:val="16"/>
          <w:szCs w:val="16"/>
        </w:rPr>
        <w:t>successful business model, ii) Companies interesting to expand their services to small holders in rural areas, and iii) companies that could provide useful services for small holders.</w:t>
      </w:r>
    </w:p>
  </w:footnote>
  <w:footnote w:id="5">
    <w:p w14:paraId="33366AB9" w14:textId="77777777" w:rsidR="00D23320" w:rsidRPr="00D23320" w:rsidRDefault="00D23320" w:rsidP="004E7E16">
      <w:pPr>
        <w:pStyle w:val="FootnoteText"/>
        <w:rPr>
          <w:sz w:val="16"/>
          <w:szCs w:val="16"/>
        </w:rPr>
      </w:pPr>
      <w:r w:rsidRPr="00D23320">
        <w:rPr>
          <w:rStyle w:val="FootnoteReference"/>
          <w:sz w:val="16"/>
          <w:szCs w:val="16"/>
        </w:rPr>
        <w:footnoteRef/>
      </w:r>
      <w:r w:rsidRPr="00D23320">
        <w:rPr>
          <w:sz w:val="16"/>
          <w:szCs w:val="16"/>
        </w:rPr>
        <w:t xml:space="preserve"> Preliminary conversation has been conducted with 3 universities (MIT, MSU, and Berkeley)</w:t>
      </w:r>
    </w:p>
  </w:footnote>
  <w:footnote w:id="6">
    <w:p w14:paraId="33366ABA" w14:textId="77777777" w:rsidR="00D23320" w:rsidRDefault="00D23320" w:rsidP="00D23320">
      <w:pPr>
        <w:pStyle w:val="FootnoteText"/>
      </w:pPr>
      <w:r w:rsidRPr="00D23320">
        <w:rPr>
          <w:rStyle w:val="FootnoteReference"/>
          <w:sz w:val="16"/>
          <w:szCs w:val="16"/>
        </w:rPr>
        <w:footnoteRef/>
      </w:r>
      <w:r w:rsidRPr="00D23320">
        <w:rPr>
          <w:sz w:val="16"/>
          <w:szCs w:val="16"/>
        </w:rPr>
        <w:t xml:space="preserve"> Selected companies will be required a 20% of co-financing.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B52"/>
    <w:multiLevelType w:val="hybridMultilevel"/>
    <w:tmpl w:val="76922BEC"/>
    <w:lvl w:ilvl="0" w:tplc="E6889AF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90A"/>
    <w:multiLevelType w:val="hybridMultilevel"/>
    <w:tmpl w:val="245E808E"/>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15:restartNumberingAfterBreak="0">
    <w:nsid w:val="2C8779F9"/>
    <w:multiLevelType w:val="hybridMultilevel"/>
    <w:tmpl w:val="31282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F53BB8"/>
    <w:multiLevelType w:val="hybridMultilevel"/>
    <w:tmpl w:val="8EB8C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88169E"/>
    <w:multiLevelType w:val="hybridMultilevel"/>
    <w:tmpl w:val="7794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96EA2"/>
    <w:multiLevelType w:val="hybridMultilevel"/>
    <w:tmpl w:val="FA1A519E"/>
    <w:lvl w:ilvl="0" w:tplc="7452F2B2">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5E64F1"/>
    <w:multiLevelType w:val="hybridMultilevel"/>
    <w:tmpl w:val="077A2B30"/>
    <w:lvl w:ilvl="0" w:tplc="DB96890C">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287B6C"/>
    <w:multiLevelType w:val="hybridMultilevel"/>
    <w:tmpl w:val="4FBEB6A8"/>
    <w:lvl w:ilvl="0" w:tplc="04100001">
      <w:start w:val="1"/>
      <w:numFmt w:val="bullet"/>
      <w:lvlText w:val=""/>
      <w:lvlJc w:val="left"/>
      <w:pPr>
        <w:tabs>
          <w:tab w:val="num" w:pos="720"/>
        </w:tabs>
        <w:ind w:left="720" w:hanging="360"/>
      </w:pPr>
      <w:rPr>
        <w:rFonts w:ascii="Symbol" w:hAnsi="Symbol" w:hint="default"/>
      </w:rPr>
    </w:lvl>
    <w:lvl w:ilvl="1" w:tplc="832C9D66">
      <w:start w:val="1"/>
      <w:numFmt w:val="bullet"/>
      <w:lvlText w:val=""/>
      <w:lvlJc w:val="left"/>
      <w:pPr>
        <w:tabs>
          <w:tab w:val="num" w:pos="1415"/>
        </w:tabs>
        <w:ind w:left="1415" w:hanging="335"/>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1A12627"/>
    <w:multiLevelType w:val="hybridMultilevel"/>
    <w:tmpl w:val="A042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34757F"/>
    <w:multiLevelType w:val="hybridMultilevel"/>
    <w:tmpl w:val="AEB8488E"/>
    <w:lvl w:ilvl="0" w:tplc="38AC9154">
      <w:start w:val="1"/>
      <w:numFmt w:val="decimal"/>
      <w:lvlText w:val="%1."/>
      <w:lvlJc w:val="left"/>
      <w:pPr>
        <w:ind w:left="144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A32C65"/>
    <w:multiLevelType w:val="hybridMultilevel"/>
    <w:tmpl w:val="A3206B7E"/>
    <w:lvl w:ilvl="0" w:tplc="0809000F">
      <w:start w:val="1"/>
      <w:numFmt w:val="decimal"/>
      <w:lvlText w:val="%1."/>
      <w:lvlJc w:val="left"/>
      <w:pPr>
        <w:ind w:left="144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C4652E"/>
    <w:multiLevelType w:val="hybridMultilevel"/>
    <w:tmpl w:val="DD9096AA"/>
    <w:lvl w:ilvl="0" w:tplc="BC5C98BC">
      <w:start w:val="1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5E28B0"/>
    <w:multiLevelType w:val="hybridMultilevel"/>
    <w:tmpl w:val="1CEE4B72"/>
    <w:lvl w:ilvl="0" w:tplc="7452F2B2">
      <w:start w:val="1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0"/>
  </w:num>
  <w:num w:numId="4">
    <w:abstractNumId w:val="9"/>
  </w:num>
  <w:num w:numId="5">
    <w:abstractNumId w:val="2"/>
  </w:num>
  <w:num w:numId="6">
    <w:abstractNumId w:val="7"/>
  </w:num>
  <w:num w:numId="7">
    <w:abstractNumId w:val="1"/>
  </w:num>
  <w:num w:numId="8">
    <w:abstractNumId w:val="0"/>
  </w:num>
  <w:num w:numId="9">
    <w:abstractNumId w:val="4"/>
  </w:num>
  <w:num w:numId="10">
    <w:abstractNumId w:val="11"/>
  </w:num>
  <w:num w:numId="11">
    <w:abstractNumId w:val="1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F5"/>
    <w:rsid w:val="0001255A"/>
    <w:rsid w:val="00016228"/>
    <w:rsid w:val="00020753"/>
    <w:rsid w:val="00021949"/>
    <w:rsid w:val="0002685D"/>
    <w:rsid w:val="00035612"/>
    <w:rsid w:val="00046CA7"/>
    <w:rsid w:val="000473AD"/>
    <w:rsid w:val="00060449"/>
    <w:rsid w:val="0006432D"/>
    <w:rsid w:val="00067730"/>
    <w:rsid w:val="000718C3"/>
    <w:rsid w:val="00074C5B"/>
    <w:rsid w:val="00080996"/>
    <w:rsid w:val="00084439"/>
    <w:rsid w:val="00091B7E"/>
    <w:rsid w:val="000A110E"/>
    <w:rsid w:val="000A639D"/>
    <w:rsid w:val="000A6E3B"/>
    <w:rsid w:val="000B2F26"/>
    <w:rsid w:val="000B544D"/>
    <w:rsid w:val="000C39EA"/>
    <w:rsid w:val="000C504E"/>
    <w:rsid w:val="000D10E4"/>
    <w:rsid w:val="000D4AFA"/>
    <w:rsid w:val="000D4B7D"/>
    <w:rsid w:val="000D5D0F"/>
    <w:rsid w:val="000E25D6"/>
    <w:rsid w:val="000F379B"/>
    <w:rsid w:val="000F4733"/>
    <w:rsid w:val="00107390"/>
    <w:rsid w:val="00122FAB"/>
    <w:rsid w:val="0013344E"/>
    <w:rsid w:val="00176D2F"/>
    <w:rsid w:val="001A0289"/>
    <w:rsid w:val="001E32C7"/>
    <w:rsid w:val="001F3E9F"/>
    <w:rsid w:val="001F71B6"/>
    <w:rsid w:val="002039C8"/>
    <w:rsid w:val="002133F1"/>
    <w:rsid w:val="00223D41"/>
    <w:rsid w:val="00233472"/>
    <w:rsid w:val="00240D9E"/>
    <w:rsid w:val="00243A7C"/>
    <w:rsid w:val="002528C8"/>
    <w:rsid w:val="00252F3A"/>
    <w:rsid w:val="00255F53"/>
    <w:rsid w:val="002610DA"/>
    <w:rsid w:val="0026286B"/>
    <w:rsid w:val="0026466F"/>
    <w:rsid w:val="002649F5"/>
    <w:rsid w:val="00275313"/>
    <w:rsid w:val="0028360B"/>
    <w:rsid w:val="00287FC3"/>
    <w:rsid w:val="002946F8"/>
    <w:rsid w:val="002A7B34"/>
    <w:rsid w:val="002B1CC7"/>
    <w:rsid w:val="002C4053"/>
    <w:rsid w:val="002D431A"/>
    <w:rsid w:val="002D57A0"/>
    <w:rsid w:val="002E33AE"/>
    <w:rsid w:val="003236CF"/>
    <w:rsid w:val="0033126F"/>
    <w:rsid w:val="0034237D"/>
    <w:rsid w:val="00353FD7"/>
    <w:rsid w:val="003561FB"/>
    <w:rsid w:val="0035740D"/>
    <w:rsid w:val="00357686"/>
    <w:rsid w:val="00360547"/>
    <w:rsid w:val="0036253D"/>
    <w:rsid w:val="003762F7"/>
    <w:rsid w:val="00380215"/>
    <w:rsid w:val="00381203"/>
    <w:rsid w:val="003820F3"/>
    <w:rsid w:val="003822AA"/>
    <w:rsid w:val="00387CA9"/>
    <w:rsid w:val="00393D37"/>
    <w:rsid w:val="0039508E"/>
    <w:rsid w:val="003A0A03"/>
    <w:rsid w:val="003A49A2"/>
    <w:rsid w:val="003A5A53"/>
    <w:rsid w:val="003D41E7"/>
    <w:rsid w:val="003D5BA4"/>
    <w:rsid w:val="003E28C6"/>
    <w:rsid w:val="003F026D"/>
    <w:rsid w:val="00405A64"/>
    <w:rsid w:val="00423FF7"/>
    <w:rsid w:val="00427AE4"/>
    <w:rsid w:val="0043441F"/>
    <w:rsid w:val="004358C4"/>
    <w:rsid w:val="0045590A"/>
    <w:rsid w:val="00460B9A"/>
    <w:rsid w:val="00460E82"/>
    <w:rsid w:val="004636F7"/>
    <w:rsid w:val="0046738E"/>
    <w:rsid w:val="00483112"/>
    <w:rsid w:val="00484DC2"/>
    <w:rsid w:val="0048664E"/>
    <w:rsid w:val="0049263E"/>
    <w:rsid w:val="004A1639"/>
    <w:rsid w:val="004A1E4A"/>
    <w:rsid w:val="004A6EF9"/>
    <w:rsid w:val="004B2DF6"/>
    <w:rsid w:val="004B6E3D"/>
    <w:rsid w:val="004C4C11"/>
    <w:rsid w:val="004D3DBA"/>
    <w:rsid w:val="004D44B7"/>
    <w:rsid w:val="004D6436"/>
    <w:rsid w:val="004E0BA3"/>
    <w:rsid w:val="004E471A"/>
    <w:rsid w:val="004E7E16"/>
    <w:rsid w:val="004F1971"/>
    <w:rsid w:val="004F5B37"/>
    <w:rsid w:val="00515EC9"/>
    <w:rsid w:val="005163C8"/>
    <w:rsid w:val="00517423"/>
    <w:rsid w:val="005206C2"/>
    <w:rsid w:val="005268A9"/>
    <w:rsid w:val="00531A7E"/>
    <w:rsid w:val="00531DE3"/>
    <w:rsid w:val="00563956"/>
    <w:rsid w:val="0056625D"/>
    <w:rsid w:val="00585DE6"/>
    <w:rsid w:val="005A05FA"/>
    <w:rsid w:val="005B2113"/>
    <w:rsid w:val="005B4F56"/>
    <w:rsid w:val="005B5A2C"/>
    <w:rsid w:val="005B74AF"/>
    <w:rsid w:val="005C770C"/>
    <w:rsid w:val="005D4C0D"/>
    <w:rsid w:val="005D5F3C"/>
    <w:rsid w:val="005F1072"/>
    <w:rsid w:val="005F36EF"/>
    <w:rsid w:val="005F50AA"/>
    <w:rsid w:val="005F5A94"/>
    <w:rsid w:val="00602F6B"/>
    <w:rsid w:val="00607F95"/>
    <w:rsid w:val="00614DF6"/>
    <w:rsid w:val="00622223"/>
    <w:rsid w:val="006259DF"/>
    <w:rsid w:val="00636E1D"/>
    <w:rsid w:val="006403F7"/>
    <w:rsid w:val="006405E1"/>
    <w:rsid w:val="00655D89"/>
    <w:rsid w:val="00663B06"/>
    <w:rsid w:val="00665C5C"/>
    <w:rsid w:val="00672070"/>
    <w:rsid w:val="00672358"/>
    <w:rsid w:val="00681A11"/>
    <w:rsid w:val="00694682"/>
    <w:rsid w:val="006C09A7"/>
    <w:rsid w:val="006C7AAD"/>
    <w:rsid w:val="006D329A"/>
    <w:rsid w:val="006D3ECF"/>
    <w:rsid w:val="006D553A"/>
    <w:rsid w:val="006D5E01"/>
    <w:rsid w:val="006D6AA7"/>
    <w:rsid w:val="00704937"/>
    <w:rsid w:val="00705D85"/>
    <w:rsid w:val="0071036E"/>
    <w:rsid w:val="007143ED"/>
    <w:rsid w:val="00714F6A"/>
    <w:rsid w:val="007162DC"/>
    <w:rsid w:val="00734127"/>
    <w:rsid w:val="00736AA3"/>
    <w:rsid w:val="007421EB"/>
    <w:rsid w:val="007604EF"/>
    <w:rsid w:val="0076792C"/>
    <w:rsid w:val="00777F3D"/>
    <w:rsid w:val="00791E81"/>
    <w:rsid w:val="007A3CEC"/>
    <w:rsid w:val="007B2989"/>
    <w:rsid w:val="007D0422"/>
    <w:rsid w:val="007D4DA0"/>
    <w:rsid w:val="007F3D21"/>
    <w:rsid w:val="007F6682"/>
    <w:rsid w:val="00800DD3"/>
    <w:rsid w:val="00807613"/>
    <w:rsid w:val="008200FA"/>
    <w:rsid w:val="00830C7C"/>
    <w:rsid w:val="00830F8E"/>
    <w:rsid w:val="00837E39"/>
    <w:rsid w:val="008548B2"/>
    <w:rsid w:val="008615F7"/>
    <w:rsid w:val="00861FBC"/>
    <w:rsid w:val="00885642"/>
    <w:rsid w:val="00894467"/>
    <w:rsid w:val="008D0624"/>
    <w:rsid w:val="008D0BCB"/>
    <w:rsid w:val="008D2F63"/>
    <w:rsid w:val="00905512"/>
    <w:rsid w:val="009135C2"/>
    <w:rsid w:val="00916962"/>
    <w:rsid w:val="009224BF"/>
    <w:rsid w:val="00932DF4"/>
    <w:rsid w:val="00933F62"/>
    <w:rsid w:val="00936F7D"/>
    <w:rsid w:val="00946430"/>
    <w:rsid w:val="009516EF"/>
    <w:rsid w:val="00961424"/>
    <w:rsid w:val="00984FF4"/>
    <w:rsid w:val="009879BA"/>
    <w:rsid w:val="00991304"/>
    <w:rsid w:val="00991EC8"/>
    <w:rsid w:val="0099372D"/>
    <w:rsid w:val="009A2DFC"/>
    <w:rsid w:val="009E7B9B"/>
    <w:rsid w:val="009F3F6D"/>
    <w:rsid w:val="00A14BDA"/>
    <w:rsid w:val="00A27A99"/>
    <w:rsid w:val="00A310D0"/>
    <w:rsid w:val="00A33E7A"/>
    <w:rsid w:val="00A352B5"/>
    <w:rsid w:val="00A36FF6"/>
    <w:rsid w:val="00A51128"/>
    <w:rsid w:val="00A57D53"/>
    <w:rsid w:val="00A60C3F"/>
    <w:rsid w:val="00A60C82"/>
    <w:rsid w:val="00A72E8E"/>
    <w:rsid w:val="00A752C1"/>
    <w:rsid w:val="00AB44B3"/>
    <w:rsid w:val="00AC14FB"/>
    <w:rsid w:val="00AC410E"/>
    <w:rsid w:val="00AC7242"/>
    <w:rsid w:val="00AD7CD0"/>
    <w:rsid w:val="00AE2705"/>
    <w:rsid w:val="00AE5253"/>
    <w:rsid w:val="00B21515"/>
    <w:rsid w:val="00B32F6C"/>
    <w:rsid w:val="00B42E75"/>
    <w:rsid w:val="00B43569"/>
    <w:rsid w:val="00B436C0"/>
    <w:rsid w:val="00B44FDA"/>
    <w:rsid w:val="00B455EF"/>
    <w:rsid w:val="00B564B7"/>
    <w:rsid w:val="00B61D25"/>
    <w:rsid w:val="00B63FF9"/>
    <w:rsid w:val="00B853FD"/>
    <w:rsid w:val="00B8628E"/>
    <w:rsid w:val="00B86A91"/>
    <w:rsid w:val="00B92669"/>
    <w:rsid w:val="00BA092E"/>
    <w:rsid w:val="00BA0D43"/>
    <w:rsid w:val="00BA447A"/>
    <w:rsid w:val="00BA58AD"/>
    <w:rsid w:val="00BB6928"/>
    <w:rsid w:val="00BB79D4"/>
    <w:rsid w:val="00BE1A9F"/>
    <w:rsid w:val="00BE3DE3"/>
    <w:rsid w:val="00BE6E87"/>
    <w:rsid w:val="00C176FC"/>
    <w:rsid w:val="00C25525"/>
    <w:rsid w:val="00C27624"/>
    <w:rsid w:val="00C43E62"/>
    <w:rsid w:val="00C47BBA"/>
    <w:rsid w:val="00C6132D"/>
    <w:rsid w:val="00C61D77"/>
    <w:rsid w:val="00C62147"/>
    <w:rsid w:val="00C73BA8"/>
    <w:rsid w:val="00C775F9"/>
    <w:rsid w:val="00C80FCB"/>
    <w:rsid w:val="00C924B4"/>
    <w:rsid w:val="00CA1E56"/>
    <w:rsid w:val="00CC1893"/>
    <w:rsid w:val="00CC1FCB"/>
    <w:rsid w:val="00CE19B8"/>
    <w:rsid w:val="00D23320"/>
    <w:rsid w:val="00D235D9"/>
    <w:rsid w:val="00D30D25"/>
    <w:rsid w:val="00D70A4E"/>
    <w:rsid w:val="00D76A41"/>
    <w:rsid w:val="00D77B9D"/>
    <w:rsid w:val="00D85B48"/>
    <w:rsid w:val="00D90ABE"/>
    <w:rsid w:val="00DB111F"/>
    <w:rsid w:val="00DC4F04"/>
    <w:rsid w:val="00DC601F"/>
    <w:rsid w:val="00DD69A3"/>
    <w:rsid w:val="00DE6E26"/>
    <w:rsid w:val="00DF0262"/>
    <w:rsid w:val="00DF7583"/>
    <w:rsid w:val="00E10B69"/>
    <w:rsid w:val="00E17D4D"/>
    <w:rsid w:val="00E20DD4"/>
    <w:rsid w:val="00E22EC5"/>
    <w:rsid w:val="00E318DB"/>
    <w:rsid w:val="00E32C0D"/>
    <w:rsid w:val="00E349F4"/>
    <w:rsid w:val="00E34DF7"/>
    <w:rsid w:val="00E47815"/>
    <w:rsid w:val="00E82CA2"/>
    <w:rsid w:val="00E86EBE"/>
    <w:rsid w:val="00E951D3"/>
    <w:rsid w:val="00E9734C"/>
    <w:rsid w:val="00EB11C7"/>
    <w:rsid w:val="00EB2032"/>
    <w:rsid w:val="00EB5BC2"/>
    <w:rsid w:val="00EB5D37"/>
    <w:rsid w:val="00EC29B8"/>
    <w:rsid w:val="00ED38E7"/>
    <w:rsid w:val="00EE1B3F"/>
    <w:rsid w:val="00EE5B64"/>
    <w:rsid w:val="00EF771B"/>
    <w:rsid w:val="00F018E4"/>
    <w:rsid w:val="00F07210"/>
    <w:rsid w:val="00F07D81"/>
    <w:rsid w:val="00F17636"/>
    <w:rsid w:val="00F34E8B"/>
    <w:rsid w:val="00F403EF"/>
    <w:rsid w:val="00F546D6"/>
    <w:rsid w:val="00F679E7"/>
    <w:rsid w:val="00F70654"/>
    <w:rsid w:val="00F72981"/>
    <w:rsid w:val="00F74C38"/>
    <w:rsid w:val="00F971C0"/>
    <w:rsid w:val="00FA145D"/>
    <w:rsid w:val="00FA6979"/>
    <w:rsid w:val="00FC0D7C"/>
    <w:rsid w:val="00FE52E5"/>
    <w:rsid w:val="00FE5664"/>
    <w:rsid w:val="00FF74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66A25"/>
  <w15:docId w15:val="{2A362E58-8C07-4C1A-B6EF-484DCF77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ExecSummary,List Paragraph (numbered (a)),References,WB List Paragraph,Dot pt,F5 List Paragraph,List Paragraph1,List Paragraph Char Char Char,Indicator Text,Numbered Para 1,Colorful List - Accent 11,Bullet 1,No Spacing1,AN"/>
    <w:basedOn w:val="Normal"/>
    <w:link w:val="ListParagraphChar"/>
    <w:uiPriority w:val="34"/>
    <w:qFormat/>
    <w:rsid w:val="002649F5"/>
    <w:pPr>
      <w:ind w:left="720"/>
      <w:contextualSpacing/>
    </w:pPr>
  </w:style>
  <w:style w:type="paragraph" w:styleId="FootnoteText">
    <w:name w:val="footnote text"/>
    <w:basedOn w:val="Normal"/>
    <w:link w:val="FootnoteTextChar"/>
    <w:unhideWhenUsed/>
    <w:rsid w:val="002649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9F5"/>
    <w:rPr>
      <w:sz w:val="20"/>
      <w:szCs w:val="20"/>
    </w:rPr>
  </w:style>
  <w:style w:type="character" w:styleId="FootnoteReference">
    <w:name w:val="footnote reference"/>
    <w:aliases w:val="ftref"/>
    <w:basedOn w:val="DefaultParagraphFont"/>
    <w:semiHidden/>
    <w:unhideWhenUsed/>
    <w:rsid w:val="002649F5"/>
    <w:rPr>
      <w:vertAlign w:val="superscript"/>
    </w:rPr>
  </w:style>
  <w:style w:type="character" w:styleId="Hyperlink">
    <w:name w:val="Hyperlink"/>
    <w:basedOn w:val="DefaultParagraphFont"/>
    <w:uiPriority w:val="99"/>
    <w:unhideWhenUsed/>
    <w:rsid w:val="002649F5"/>
    <w:rPr>
      <w:color w:val="0000FF" w:themeColor="hyperlink"/>
      <w:u w:val="single"/>
    </w:rPr>
  </w:style>
  <w:style w:type="table" w:styleId="TableGrid">
    <w:name w:val="Table Grid"/>
    <w:basedOn w:val="TableNormal"/>
    <w:rsid w:val="00264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2649F5"/>
    <w:rPr>
      <w:b/>
      <w:bCs/>
      <w:smallCaps/>
      <w:spacing w:val="5"/>
    </w:rPr>
  </w:style>
  <w:style w:type="paragraph" w:styleId="BalloonText">
    <w:name w:val="Balloon Text"/>
    <w:basedOn w:val="Normal"/>
    <w:link w:val="BalloonTextChar"/>
    <w:uiPriority w:val="99"/>
    <w:semiHidden/>
    <w:unhideWhenUsed/>
    <w:rsid w:val="00084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39"/>
    <w:rPr>
      <w:rFonts w:ascii="Tahoma" w:hAnsi="Tahoma" w:cs="Tahoma"/>
      <w:sz w:val="16"/>
      <w:szCs w:val="16"/>
    </w:rPr>
  </w:style>
  <w:style w:type="paragraph" w:styleId="Header">
    <w:name w:val="header"/>
    <w:basedOn w:val="Normal"/>
    <w:link w:val="HeaderChar"/>
    <w:uiPriority w:val="99"/>
    <w:unhideWhenUsed/>
    <w:rsid w:val="000D4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B7D"/>
  </w:style>
  <w:style w:type="paragraph" w:styleId="Footer">
    <w:name w:val="footer"/>
    <w:basedOn w:val="Normal"/>
    <w:link w:val="FooterChar"/>
    <w:uiPriority w:val="99"/>
    <w:unhideWhenUsed/>
    <w:rsid w:val="000D4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B7D"/>
  </w:style>
  <w:style w:type="character" w:styleId="FollowedHyperlink">
    <w:name w:val="FollowedHyperlink"/>
    <w:basedOn w:val="DefaultParagraphFont"/>
    <w:uiPriority w:val="99"/>
    <w:semiHidden/>
    <w:unhideWhenUsed/>
    <w:rsid w:val="000D4B7D"/>
    <w:rPr>
      <w:color w:val="800080" w:themeColor="followedHyperlink"/>
      <w:u w:val="single"/>
    </w:rPr>
  </w:style>
  <w:style w:type="character" w:styleId="PlaceholderText">
    <w:name w:val="Placeholder Text"/>
    <w:basedOn w:val="DefaultParagraphFont"/>
    <w:uiPriority w:val="99"/>
    <w:semiHidden/>
    <w:rsid w:val="00A27A99"/>
    <w:rPr>
      <w:color w:val="808080"/>
    </w:rPr>
  </w:style>
  <w:style w:type="character" w:styleId="CommentReference">
    <w:name w:val="annotation reference"/>
    <w:basedOn w:val="DefaultParagraphFont"/>
    <w:uiPriority w:val="99"/>
    <w:semiHidden/>
    <w:unhideWhenUsed/>
    <w:rsid w:val="002B1CC7"/>
    <w:rPr>
      <w:sz w:val="18"/>
      <w:szCs w:val="18"/>
    </w:rPr>
  </w:style>
  <w:style w:type="paragraph" w:styleId="CommentText">
    <w:name w:val="annotation text"/>
    <w:basedOn w:val="Normal"/>
    <w:link w:val="CommentTextChar"/>
    <w:uiPriority w:val="99"/>
    <w:semiHidden/>
    <w:unhideWhenUsed/>
    <w:rsid w:val="002B1CC7"/>
    <w:pPr>
      <w:spacing w:line="240" w:lineRule="auto"/>
    </w:pPr>
    <w:rPr>
      <w:sz w:val="24"/>
      <w:szCs w:val="24"/>
    </w:rPr>
  </w:style>
  <w:style w:type="character" w:customStyle="1" w:styleId="CommentTextChar">
    <w:name w:val="Comment Text Char"/>
    <w:basedOn w:val="DefaultParagraphFont"/>
    <w:link w:val="CommentText"/>
    <w:uiPriority w:val="99"/>
    <w:semiHidden/>
    <w:rsid w:val="002B1CC7"/>
    <w:rPr>
      <w:sz w:val="24"/>
      <w:szCs w:val="24"/>
    </w:rPr>
  </w:style>
  <w:style w:type="paragraph" w:styleId="CommentSubject">
    <w:name w:val="annotation subject"/>
    <w:basedOn w:val="CommentText"/>
    <w:next w:val="CommentText"/>
    <w:link w:val="CommentSubjectChar"/>
    <w:uiPriority w:val="99"/>
    <w:semiHidden/>
    <w:unhideWhenUsed/>
    <w:rsid w:val="002B1CC7"/>
    <w:rPr>
      <w:b/>
      <w:bCs/>
      <w:sz w:val="20"/>
      <w:szCs w:val="20"/>
    </w:rPr>
  </w:style>
  <w:style w:type="character" w:customStyle="1" w:styleId="CommentSubjectChar">
    <w:name w:val="Comment Subject Char"/>
    <w:basedOn w:val="CommentTextChar"/>
    <w:link w:val="CommentSubject"/>
    <w:uiPriority w:val="99"/>
    <w:semiHidden/>
    <w:rsid w:val="002B1CC7"/>
    <w:rPr>
      <w:b/>
      <w:bCs/>
      <w:sz w:val="20"/>
      <w:szCs w:val="20"/>
    </w:rPr>
  </w:style>
  <w:style w:type="character" w:customStyle="1" w:styleId="ListParagraphChar">
    <w:name w:val="List Paragraph Char"/>
    <w:aliases w:val="List Paragraph-ExecSummary Char,List Paragraph (numbered (a)) Char,References Char,WB List Paragraph Char,Dot pt Char,F5 List Paragraph Char,List Paragraph1 Char,List Paragraph Char Char Char Char,Indicator Text Char,Bullet 1 Char"/>
    <w:link w:val="ListParagraph"/>
    <w:uiPriority w:val="34"/>
    <w:qFormat/>
    <w:locked/>
    <w:rsid w:val="000C504E"/>
  </w:style>
  <w:style w:type="paragraph" w:styleId="Title">
    <w:name w:val="Title"/>
    <w:basedOn w:val="Normal"/>
    <w:next w:val="Normal"/>
    <w:link w:val="TitleChar"/>
    <w:uiPriority w:val="10"/>
    <w:qFormat/>
    <w:rsid w:val="00107390"/>
    <w:pPr>
      <w:pBdr>
        <w:top w:val="single" w:sz="12" w:space="1" w:color="C0504D" w:themeColor="accent2"/>
      </w:pBdr>
      <w:spacing w:line="240" w:lineRule="auto"/>
      <w:jc w:val="right"/>
    </w:pPr>
    <w:rPr>
      <w:rFonts w:eastAsiaTheme="minorEastAsia"/>
      <w:smallCaps/>
      <w:sz w:val="48"/>
      <w:szCs w:val="48"/>
    </w:rPr>
  </w:style>
  <w:style w:type="character" w:customStyle="1" w:styleId="TitleChar">
    <w:name w:val="Title Char"/>
    <w:basedOn w:val="DefaultParagraphFont"/>
    <w:link w:val="Title"/>
    <w:uiPriority w:val="10"/>
    <w:rsid w:val="00107390"/>
    <w:rPr>
      <w:rFonts w:eastAsiaTheme="minorEastAsia"/>
      <w:smallCaps/>
      <w:sz w:val="48"/>
      <w:szCs w:val="48"/>
    </w:rPr>
  </w:style>
  <w:style w:type="paragraph" w:styleId="Caption">
    <w:name w:val="caption"/>
    <w:basedOn w:val="Normal"/>
    <w:next w:val="Normal"/>
    <w:uiPriority w:val="35"/>
    <w:unhideWhenUsed/>
    <w:qFormat/>
    <w:rsid w:val="000D5D0F"/>
    <w:pPr>
      <w:jc w:val="both"/>
    </w:pPr>
    <w:rPr>
      <w:rFonts w:eastAsiaTheme="minorEastAsia"/>
      <w:b/>
      <w:bCs/>
      <w:caps/>
      <w:sz w:val="16"/>
      <w:szCs w:val="18"/>
    </w:rPr>
  </w:style>
  <w:style w:type="character" w:styleId="Strong">
    <w:name w:val="Strong"/>
    <w:basedOn w:val="DefaultParagraphFont"/>
    <w:uiPriority w:val="22"/>
    <w:qFormat/>
    <w:rsid w:val="00BE1A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82739">
      <w:bodyDiv w:val="1"/>
      <w:marLeft w:val="0"/>
      <w:marRight w:val="0"/>
      <w:marTop w:val="0"/>
      <w:marBottom w:val="0"/>
      <w:divBdr>
        <w:top w:val="none" w:sz="0" w:space="0" w:color="auto"/>
        <w:left w:val="none" w:sz="0" w:space="0" w:color="auto"/>
        <w:bottom w:val="none" w:sz="0" w:space="0" w:color="auto"/>
        <w:right w:val="none" w:sz="0" w:space="0" w:color="auto"/>
      </w:divBdr>
    </w:div>
    <w:div w:id="567114464">
      <w:bodyDiv w:val="1"/>
      <w:marLeft w:val="0"/>
      <w:marRight w:val="0"/>
      <w:marTop w:val="0"/>
      <w:marBottom w:val="0"/>
      <w:divBdr>
        <w:top w:val="none" w:sz="0" w:space="0" w:color="auto"/>
        <w:left w:val="none" w:sz="0" w:space="0" w:color="auto"/>
        <w:bottom w:val="none" w:sz="0" w:space="0" w:color="auto"/>
        <w:right w:val="none" w:sz="0" w:space="0" w:color="auto"/>
      </w:divBdr>
    </w:div>
    <w:div w:id="736825779">
      <w:bodyDiv w:val="1"/>
      <w:marLeft w:val="0"/>
      <w:marRight w:val="0"/>
      <w:marTop w:val="0"/>
      <w:marBottom w:val="0"/>
      <w:divBdr>
        <w:top w:val="none" w:sz="0" w:space="0" w:color="auto"/>
        <w:left w:val="none" w:sz="0" w:space="0" w:color="auto"/>
        <w:bottom w:val="none" w:sz="0" w:space="0" w:color="auto"/>
        <w:right w:val="none" w:sz="0" w:space="0" w:color="auto"/>
      </w:divBdr>
    </w:div>
    <w:div w:id="881793057">
      <w:bodyDiv w:val="1"/>
      <w:marLeft w:val="0"/>
      <w:marRight w:val="0"/>
      <w:marTop w:val="0"/>
      <w:marBottom w:val="0"/>
      <w:divBdr>
        <w:top w:val="none" w:sz="0" w:space="0" w:color="auto"/>
        <w:left w:val="none" w:sz="0" w:space="0" w:color="auto"/>
        <w:bottom w:val="none" w:sz="0" w:space="0" w:color="auto"/>
        <w:right w:val="none" w:sz="0" w:space="0" w:color="auto"/>
      </w:divBdr>
    </w:div>
    <w:div w:id="1397581821">
      <w:bodyDiv w:val="1"/>
      <w:marLeft w:val="0"/>
      <w:marRight w:val="0"/>
      <w:marTop w:val="0"/>
      <w:marBottom w:val="0"/>
      <w:divBdr>
        <w:top w:val="none" w:sz="0" w:space="0" w:color="auto"/>
        <w:left w:val="none" w:sz="0" w:space="0" w:color="auto"/>
        <w:bottom w:val="none" w:sz="0" w:space="0" w:color="auto"/>
        <w:right w:val="none" w:sz="0" w:space="0" w:color="auto"/>
      </w:divBdr>
    </w:div>
    <w:div w:id="1982613938">
      <w:bodyDiv w:val="1"/>
      <w:marLeft w:val="0"/>
      <w:marRight w:val="0"/>
      <w:marTop w:val="0"/>
      <w:marBottom w:val="0"/>
      <w:divBdr>
        <w:top w:val="none" w:sz="0" w:space="0" w:color="auto"/>
        <w:left w:val="none" w:sz="0" w:space="0" w:color="auto"/>
        <w:bottom w:val="none" w:sz="0" w:space="0" w:color="auto"/>
        <w:right w:val="none" w:sz="0" w:space="0" w:color="auto"/>
      </w:divBdr>
    </w:div>
    <w:div w:id="20304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C4462EC3-D3F4-4D1D-AA1C-CFCA13AE4ED9}"/>
      </w:docPartPr>
      <w:docPartBody>
        <w:p w:rsidR="00CA6AC1" w:rsidRDefault="00A55233">
          <w:r w:rsidRPr="007430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33"/>
    <w:rsid w:val="000D2313"/>
    <w:rsid w:val="002A290A"/>
    <w:rsid w:val="003D0A7A"/>
    <w:rsid w:val="0058410F"/>
    <w:rsid w:val="00663CB0"/>
    <w:rsid w:val="006E46F4"/>
    <w:rsid w:val="00716650"/>
    <w:rsid w:val="00756C27"/>
    <w:rsid w:val="007F6524"/>
    <w:rsid w:val="008E75E6"/>
    <w:rsid w:val="00A55233"/>
    <w:rsid w:val="00AF64C3"/>
    <w:rsid w:val="00CA6AC1"/>
    <w:rsid w:val="00D81690"/>
    <w:rsid w:val="00FB444A"/>
    <w:rsid w:val="00FD27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2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5ABA986AF0314CB06ADAABBCBFC4C0" ma:contentTypeVersion="0" ma:contentTypeDescription="Create a new document." ma:contentTypeScope="" ma:versionID="59d6395816b1edbc737f859eeec85f0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A749D-A81F-4BC7-8AEA-6C031841C8B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14C4E44-03CC-4826-AD3C-53FE6340D7FF}">
  <ds:schemaRefs>
    <ds:schemaRef ds:uri="http://schemas.microsoft.com/sharepoint/v3/contenttype/forms"/>
  </ds:schemaRefs>
</ds:datastoreItem>
</file>

<file path=customXml/itemProps3.xml><?xml version="1.0" encoding="utf-8"?>
<ds:datastoreItem xmlns:ds="http://schemas.openxmlformats.org/officeDocument/2006/customXml" ds:itemID="{AAC6A5C6-BAE4-44FE-97B9-3A663F524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450C76-4C2D-4A2C-97B0-9719E893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3105</Words>
  <Characters>17700</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Heinemann, Edward</dc:creator>
  <cp:lastModifiedBy>Caceres Martinez, Jose</cp:lastModifiedBy>
  <cp:revision>2</cp:revision>
  <cp:lastPrinted>2019-01-23T15:47:00Z</cp:lastPrinted>
  <dcterms:created xsi:type="dcterms:W3CDTF">2020-02-10T14:32:00Z</dcterms:created>
  <dcterms:modified xsi:type="dcterms:W3CDTF">2020-02-10T14:32:00Z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0x010100455ABA986AF0314CB06ADAABBCBFC4C0</vt:lpwstr>
  </property>
</Properties>
</file>