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4D" w:rsidRDefault="009A7C4D" w:rsidP="00A11D68">
      <w:pPr>
        <w:spacing w:before="120" w:after="120"/>
        <w:jc w:val="both"/>
        <w:rPr>
          <w:rFonts w:cs="Times New Roman"/>
          <w:b/>
          <w:bCs/>
          <w:sz w:val="24"/>
          <w:szCs w:val="24"/>
          <w:lang w:val="en-GB" w:eastAsia="en-GB"/>
        </w:rPr>
      </w:pPr>
      <w:r w:rsidRPr="009A7C4D">
        <w:rPr>
          <w:rFonts w:cs="Times New Roman"/>
          <w:b/>
          <w:bCs/>
          <w:sz w:val="24"/>
          <w:szCs w:val="24"/>
          <w:lang w:val="en-GB" w:eastAsia="en-GB"/>
        </w:rPr>
        <w:t>Project Completion Report Validation</w:t>
      </w:r>
    </w:p>
    <w:p w:rsidR="004522C3" w:rsidRPr="004522C3" w:rsidRDefault="000C35DE" w:rsidP="000C35DE">
      <w:pPr>
        <w:jc w:val="both"/>
        <w:rPr>
          <w:b/>
          <w:bCs/>
        </w:rPr>
      </w:pPr>
      <w:r>
        <w:rPr>
          <w:b/>
          <w:bCs/>
        </w:rPr>
        <w:t>Seed D</w:t>
      </w:r>
      <w:r w:rsidR="00343706">
        <w:rPr>
          <w:b/>
          <w:bCs/>
        </w:rPr>
        <w:t xml:space="preserve">evelopment </w:t>
      </w:r>
      <w:r>
        <w:rPr>
          <w:b/>
          <w:bCs/>
        </w:rPr>
        <w:t>P</w:t>
      </w:r>
      <w:r w:rsidR="00343706">
        <w:rPr>
          <w:b/>
          <w:bCs/>
        </w:rPr>
        <w:t>roject</w:t>
      </w:r>
    </w:p>
    <w:p w:rsidR="004522C3" w:rsidRPr="004522C3" w:rsidRDefault="00343706" w:rsidP="00A11D68">
      <w:pPr>
        <w:jc w:val="both"/>
        <w:rPr>
          <w:b/>
          <w:bCs/>
        </w:rPr>
      </w:pPr>
      <w:r>
        <w:rPr>
          <w:b/>
          <w:bCs/>
        </w:rPr>
        <w:t>Republic of the Sudan</w:t>
      </w:r>
    </w:p>
    <w:p w:rsidR="009A7C4D" w:rsidRPr="009A7C4D" w:rsidRDefault="009A7C4D" w:rsidP="00990C54">
      <w:pPr>
        <w:spacing w:after="120"/>
        <w:jc w:val="both"/>
        <w:rPr>
          <w:rFonts w:cs="Times New Roman"/>
          <w:b/>
          <w:bCs/>
          <w:lang w:val="en-GB" w:eastAsia="en-GB"/>
        </w:rPr>
      </w:pPr>
      <w:r w:rsidRPr="009A7C4D">
        <w:rPr>
          <w:rFonts w:cs="Times New Roman"/>
          <w:b/>
          <w:bCs/>
          <w:lang w:val="en-GB" w:eastAsia="en-GB"/>
        </w:rPr>
        <w:t>Date of validation by IOE</w:t>
      </w:r>
      <w:r w:rsidR="004522C3">
        <w:rPr>
          <w:rFonts w:cs="Times New Roman"/>
          <w:b/>
          <w:bCs/>
          <w:lang w:val="en-GB" w:eastAsia="en-GB"/>
        </w:rPr>
        <w:t xml:space="preserve">: </w:t>
      </w:r>
      <w:r w:rsidR="00EA4BBF">
        <w:rPr>
          <w:b/>
          <w:bCs/>
        </w:rPr>
        <w:t>December</w:t>
      </w:r>
      <w:r w:rsidR="009F228F">
        <w:rPr>
          <w:b/>
          <w:bCs/>
        </w:rPr>
        <w:t xml:space="preserve"> 2019</w:t>
      </w:r>
      <w:r w:rsidR="00B568A1">
        <w:rPr>
          <w:b/>
          <w:bCs/>
        </w:rPr>
        <w:t xml:space="preserve">  </w:t>
      </w:r>
    </w:p>
    <w:p w:rsidR="009A7C4D" w:rsidRPr="009A7C4D" w:rsidRDefault="009A7C4D" w:rsidP="00A11D68">
      <w:pPr>
        <w:pStyle w:val="Heading1"/>
        <w:jc w:val="both"/>
        <w:rPr>
          <w:lang w:val="en-GB" w:eastAsia="en-GB"/>
        </w:rPr>
      </w:pPr>
      <w:r w:rsidRPr="009A7C4D">
        <w:rPr>
          <w:lang w:val="en-GB" w:eastAsia="en-GB"/>
        </w:rPr>
        <w:t>Basic project data</w:t>
      </w:r>
    </w:p>
    <w:tbl>
      <w:tblPr>
        <w:tblW w:w="9042" w:type="dxa"/>
        <w:jc w:val="center"/>
        <w:tblCellMar>
          <w:left w:w="0" w:type="dxa"/>
          <w:right w:w="0" w:type="dxa"/>
        </w:tblCellMar>
        <w:tblLook w:val="0000" w:firstRow="0" w:lastRow="0" w:firstColumn="0" w:lastColumn="0" w:noHBand="0" w:noVBand="0"/>
      </w:tblPr>
      <w:tblGrid>
        <w:gridCol w:w="1604"/>
        <w:gridCol w:w="2072"/>
        <w:gridCol w:w="283"/>
        <w:gridCol w:w="1958"/>
        <w:gridCol w:w="958"/>
        <w:gridCol w:w="727"/>
        <w:gridCol w:w="613"/>
        <w:gridCol w:w="827"/>
      </w:tblGrid>
      <w:tr w:rsidR="00F82074" w:rsidRPr="001C68F6" w:rsidTr="00990C54">
        <w:trPr>
          <w:jc w:val="center"/>
        </w:trPr>
        <w:tc>
          <w:tcPr>
            <w:tcW w:w="160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A7C4D" w:rsidRPr="001C68F6" w:rsidRDefault="009A7C4D" w:rsidP="001F5815">
            <w:pPr>
              <w:spacing w:before="120" w:after="40"/>
              <w:rPr>
                <w:rFonts w:asciiTheme="minorBidi" w:hAnsiTheme="minorBidi" w:cstheme="minorBidi"/>
                <w:i/>
                <w:iCs/>
                <w:sz w:val="16"/>
                <w:szCs w:val="16"/>
                <w:lang w:val="en-GB" w:eastAsia="en-GB"/>
              </w:rPr>
            </w:pPr>
          </w:p>
        </w:tc>
        <w:tc>
          <w:tcPr>
            <w:tcW w:w="207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A7C4D" w:rsidRPr="001C68F6" w:rsidRDefault="009A7C4D" w:rsidP="001F5815">
            <w:pPr>
              <w:spacing w:before="120" w:after="40"/>
              <w:jc w:val="right"/>
              <w:rPr>
                <w:rFonts w:asciiTheme="minorBidi" w:hAnsiTheme="minorBidi" w:cstheme="minorBidi"/>
                <w:i/>
                <w:iCs/>
                <w:sz w:val="16"/>
                <w:szCs w:val="16"/>
                <w:lang w:val="en-GB" w:eastAsia="en-GB"/>
              </w:rPr>
            </w:pPr>
          </w:p>
        </w:tc>
        <w:tc>
          <w:tcPr>
            <w:tcW w:w="28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A7C4D" w:rsidRPr="001C68F6" w:rsidRDefault="009A7C4D" w:rsidP="00A11D68">
            <w:pPr>
              <w:spacing w:before="120" w:after="40"/>
              <w:jc w:val="both"/>
              <w:rPr>
                <w:rFonts w:asciiTheme="minorBidi" w:hAnsiTheme="minorBidi" w:cstheme="minorBidi"/>
                <w:i/>
                <w:iCs/>
                <w:sz w:val="16"/>
                <w:szCs w:val="16"/>
                <w:lang w:val="en-GB" w:eastAsia="en-GB"/>
              </w:rPr>
            </w:pPr>
          </w:p>
        </w:tc>
        <w:tc>
          <w:tcPr>
            <w:tcW w:w="195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A7C4D" w:rsidRPr="001C68F6" w:rsidRDefault="009A7C4D" w:rsidP="001F5815">
            <w:pPr>
              <w:spacing w:before="120" w:after="40"/>
              <w:rPr>
                <w:rFonts w:asciiTheme="minorBidi" w:hAnsiTheme="minorBidi" w:cstheme="minorBidi"/>
                <w:i/>
                <w:iCs/>
                <w:sz w:val="16"/>
                <w:szCs w:val="16"/>
                <w:lang w:val="en-GB" w:eastAsia="en-GB"/>
              </w:rPr>
            </w:pPr>
          </w:p>
        </w:tc>
        <w:tc>
          <w:tcPr>
            <w:tcW w:w="1685"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A7C4D" w:rsidRPr="001C68F6" w:rsidRDefault="009A7C4D" w:rsidP="001F5815">
            <w:pPr>
              <w:spacing w:before="120" w:after="40"/>
              <w:jc w:val="right"/>
              <w:rPr>
                <w:rFonts w:asciiTheme="minorBidi" w:hAnsiTheme="minorBidi" w:cstheme="minorBidi"/>
                <w:i/>
                <w:iCs/>
                <w:sz w:val="16"/>
                <w:szCs w:val="16"/>
                <w:lang w:val="en-GB" w:eastAsia="en-GB"/>
              </w:rPr>
            </w:pPr>
            <w:r w:rsidRPr="001C68F6">
              <w:rPr>
                <w:rFonts w:asciiTheme="minorBidi" w:hAnsiTheme="minorBidi" w:cstheme="minorBidi"/>
                <w:i/>
                <w:iCs/>
                <w:sz w:val="16"/>
                <w:szCs w:val="16"/>
                <w:lang w:val="en-GB" w:eastAsia="en-GB"/>
              </w:rPr>
              <w:t>Approval (US$ m)</w:t>
            </w:r>
          </w:p>
        </w:tc>
        <w:tc>
          <w:tcPr>
            <w:tcW w:w="1440"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A7C4D" w:rsidRPr="001C68F6" w:rsidRDefault="009A7C4D" w:rsidP="001F5815">
            <w:pPr>
              <w:spacing w:before="120" w:after="40"/>
              <w:ind w:left="-108"/>
              <w:jc w:val="right"/>
              <w:rPr>
                <w:rFonts w:asciiTheme="minorBidi" w:hAnsiTheme="minorBidi" w:cstheme="minorBidi"/>
                <w:i/>
                <w:iCs/>
                <w:sz w:val="16"/>
                <w:szCs w:val="16"/>
                <w:lang w:val="en-GB" w:eastAsia="en-GB"/>
              </w:rPr>
            </w:pPr>
            <w:r w:rsidRPr="001C68F6">
              <w:rPr>
                <w:rFonts w:asciiTheme="minorBidi" w:hAnsiTheme="minorBidi" w:cstheme="minorBidi"/>
                <w:i/>
                <w:iCs/>
                <w:sz w:val="16"/>
                <w:szCs w:val="16"/>
                <w:lang w:val="en-GB" w:eastAsia="en-GB"/>
              </w:rPr>
              <w:t>Actual (US$ m)</w:t>
            </w:r>
            <w:r w:rsidR="009F228F">
              <w:rPr>
                <w:rStyle w:val="FootnoteReference"/>
                <w:rFonts w:asciiTheme="minorBidi" w:hAnsiTheme="minorBidi" w:cstheme="minorBidi"/>
                <w:i/>
                <w:iCs/>
                <w:sz w:val="16"/>
                <w:szCs w:val="16"/>
                <w:lang w:val="en-GB" w:eastAsia="en-GB"/>
              </w:rPr>
              <w:footnoteReference w:id="1"/>
            </w:r>
          </w:p>
        </w:tc>
      </w:tr>
      <w:tr w:rsidR="009A7C4D"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Region</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8A4E0A" w:rsidP="001F5815">
            <w:pPr>
              <w:spacing w:before="40" w:after="40"/>
              <w:jc w:val="right"/>
              <w:rPr>
                <w:rFonts w:asciiTheme="minorBidi" w:hAnsiTheme="minorBidi"/>
                <w:sz w:val="16"/>
                <w:szCs w:val="16"/>
                <w:lang w:eastAsia="en-GB"/>
              </w:rPr>
            </w:pPr>
            <w:r w:rsidRPr="001C68F6">
              <w:rPr>
                <w:rFonts w:asciiTheme="minorBidi" w:hAnsiTheme="minorBidi"/>
                <w:sz w:val="16"/>
                <w:szCs w:val="16"/>
                <w:lang w:eastAsia="en-GB"/>
              </w:rPr>
              <w:t>Near East, North Africa and Europe Division</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9A7C4D" w:rsidRPr="001C68F6" w:rsidRDefault="009A7C4D"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Total project costs</w:t>
            </w:r>
          </w:p>
        </w:tc>
        <w:tc>
          <w:tcPr>
            <w:tcW w:w="1685"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A1780"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17.46</w:t>
            </w:r>
          </w:p>
        </w:tc>
        <w:tc>
          <w:tcPr>
            <w:tcW w:w="144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A7C4D" w:rsidRPr="001C68F6" w:rsidRDefault="00D014E1" w:rsidP="001F5815">
            <w:pPr>
              <w:spacing w:before="40" w:after="40"/>
              <w:jc w:val="right"/>
              <w:rPr>
                <w:rFonts w:asciiTheme="minorBidi" w:hAnsiTheme="minorBidi" w:cstheme="minorBidi"/>
                <w:sz w:val="16"/>
                <w:szCs w:val="16"/>
                <w:shd w:val="clear" w:color="auto" w:fill="FFFF00"/>
                <w:lang w:val="en-GB" w:eastAsia="en-GB"/>
              </w:rPr>
            </w:pPr>
            <w:r>
              <w:rPr>
                <w:rFonts w:asciiTheme="minorBidi" w:hAnsiTheme="minorBidi" w:cstheme="minorBidi"/>
                <w:sz w:val="16"/>
                <w:szCs w:val="16"/>
                <w:lang w:val="en-GB" w:eastAsia="en-GB"/>
              </w:rPr>
              <w:t>10</w:t>
            </w:r>
          </w:p>
        </w:tc>
      </w:tr>
      <w:tr w:rsidR="00F82074"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Country</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8A4E0A" w:rsidP="001F5815">
            <w:pPr>
              <w:spacing w:before="40" w:after="40"/>
              <w:jc w:val="right"/>
              <w:rPr>
                <w:rFonts w:asciiTheme="minorBidi" w:hAnsiTheme="minorBidi"/>
                <w:sz w:val="16"/>
                <w:szCs w:val="16"/>
                <w:lang w:eastAsia="en-GB"/>
              </w:rPr>
            </w:pPr>
            <w:r w:rsidRPr="001C68F6">
              <w:rPr>
                <w:rFonts w:asciiTheme="minorBidi" w:hAnsiTheme="minorBidi"/>
                <w:sz w:val="16"/>
                <w:szCs w:val="16"/>
                <w:lang w:eastAsia="en-GB"/>
              </w:rPr>
              <w:t xml:space="preserve">Republic of the </w:t>
            </w:r>
            <w:r w:rsidR="000A13F5" w:rsidRPr="001C68F6">
              <w:rPr>
                <w:rFonts w:asciiTheme="minorBidi" w:hAnsiTheme="minorBidi"/>
                <w:sz w:val="16"/>
                <w:szCs w:val="16"/>
                <w:lang w:eastAsia="en-GB"/>
              </w:rPr>
              <w:t>Sudan</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9A7C4D" w:rsidRPr="001C68F6" w:rsidRDefault="009A7C4D"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b/>
                <w:bCs/>
                <w:sz w:val="16"/>
                <w:szCs w:val="16"/>
                <w:lang w:val="en-GB" w:eastAsia="en-GB"/>
              </w:rPr>
            </w:pPr>
            <w:r w:rsidRPr="001C68F6">
              <w:rPr>
                <w:rFonts w:asciiTheme="minorBidi" w:hAnsiTheme="minorBidi" w:cstheme="minorBidi"/>
                <w:sz w:val="16"/>
                <w:szCs w:val="16"/>
                <w:lang w:val="en-GB" w:eastAsia="en-GB"/>
              </w:rPr>
              <w:t xml:space="preserve">IFAD </w:t>
            </w:r>
            <w:r w:rsidR="00CA1780" w:rsidRPr="001C68F6">
              <w:rPr>
                <w:rFonts w:asciiTheme="minorBidi" w:hAnsiTheme="minorBidi" w:cstheme="minorBidi"/>
                <w:sz w:val="16"/>
                <w:szCs w:val="16"/>
                <w:lang w:val="en-GB" w:eastAsia="en-GB"/>
              </w:rPr>
              <w:t>grant</w:t>
            </w:r>
            <w:r w:rsidRPr="001C68F6">
              <w:rPr>
                <w:rFonts w:asciiTheme="minorBidi" w:hAnsiTheme="minorBidi" w:cstheme="minorBidi"/>
                <w:sz w:val="16"/>
                <w:szCs w:val="16"/>
                <w:lang w:val="en-GB" w:eastAsia="en-GB"/>
              </w:rPr>
              <w:t xml:space="preserve"> and percentage of total</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A1780"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10.07</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27568"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57.7%</w:t>
            </w: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7B2AC0"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9.12</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D014E1" w:rsidP="001F5815">
            <w:pPr>
              <w:spacing w:before="40" w:after="40"/>
              <w:jc w:val="right"/>
              <w:rPr>
                <w:rFonts w:asciiTheme="minorBidi" w:hAnsiTheme="minorBidi" w:cstheme="minorBidi"/>
                <w:sz w:val="16"/>
                <w:szCs w:val="16"/>
                <w:lang w:val="en-GB" w:eastAsia="en-GB"/>
              </w:rPr>
            </w:pPr>
            <w:r>
              <w:rPr>
                <w:rFonts w:asciiTheme="minorBidi" w:hAnsiTheme="minorBidi" w:cstheme="minorBidi"/>
                <w:sz w:val="16"/>
                <w:szCs w:val="16"/>
                <w:lang w:val="en-GB" w:eastAsia="en-GB"/>
              </w:rPr>
              <w:t>91</w:t>
            </w:r>
            <w:r w:rsidR="00C27568" w:rsidRPr="001C68F6">
              <w:rPr>
                <w:rFonts w:asciiTheme="minorBidi" w:hAnsiTheme="minorBidi" w:cstheme="minorBidi"/>
                <w:sz w:val="16"/>
                <w:szCs w:val="16"/>
                <w:lang w:val="en-GB" w:eastAsia="en-GB"/>
              </w:rPr>
              <w:t>%</w:t>
            </w:r>
          </w:p>
        </w:tc>
      </w:tr>
      <w:tr w:rsidR="00F82074"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A7C4D" w:rsidRPr="001C68F6" w:rsidRDefault="00CA1780"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Grant</w:t>
            </w:r>
            <w:r w:rsidR="009A7C4D" w:rsidRPr="001C68F6">
              <w:rPr>
                <w:rFonts w:asciiTheme="minorBidi" w:hAnsiTheme="minorBidi" w:cstheme="minorBidi"/>
                <w:sz w:val="16"/>
                <w:szCs w:val="16"/>
                <w:lang w:val="en-GB" w:eastAsia="en-GB"/>
              </w:rPr>
              <w:t xml:space="preserve"> number</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F256FB" w:rsidP="001F5815">
            <w:pPr>
              <w:spacing w:before="40" w:after="40"/>
              <w:jc w:val="right"/>
              <w:rPr>
                <w:rFonts w:asciiTheme="minorBidi" w:hAnsiTheme="minorBidi" w:cstheme="minorBidi"/>
                <w:sz w:val="16"/>
                <w:szCs w:val="16"/>
                <w:lang w:val="en-GB" w:eastAsia="en-GB"/>
              </w:rPr>
            </w:pPr>
            <w:r>
              <w:rPr>
                <w:rFonts w:asciiTheme="minorBidi" w:hAnsiTheme="minorBidi" w:cstheme="minorBidi"/>
                <w:sz w:val="16"/>
                <w:szCs w:val="16"/>
                <w:lang w:val="en-GB" w:eastAsia="en-GB"/>
              </w:rPr>
              <w:t>I-DSF-8094-SD</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9A7C4D" w:rsidRPr="001C68F6" w:rsidRDefault="009A7C4D"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6E5FCA" w:rsidP="001F5815">
            <w:pPr>
              <w:spacing w:before="40" w:after="40"/>
              <w:rPr>
                <w:rFonts w:asciiTheme="minorBidi" w:hAnsiTheme="minorBidi" w:cstheme="minorBidi"/>
                <w:sz w:val="16"/>
                <w:szCs w:val="16"/>
                <w:lang w:val="en-GB" w:eastAsia="en-GB"/>
              </w:rPr>
            </w:pPr>
            <w:r>
              <w:rPr>
                <w:rFonts w:asciiTheme="minorBidi" w:hAnsiTheme="minorBidi" w:cstheme="minorBidi"/>
                <w:sz w:val="16"/>
                <w:szCs w:val="16"/>
                <w:lang w:val="en-GB" w:eastAsia="en-GB"/>
              </w:rPr>
              <w:t>Government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A1780"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3.42</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27568"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19.6%</w:t>
            </w: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27568"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0.98</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27568"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10%</w:t>
            </w:r>
          </w:p>
        </w:tc>
      </w:tr>
      <w:tr w:rsidR="00F82074"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b/>
                <w:bCs/>
                <w:sz w:val="16"/>
                <w:szCs w:val="16"/>
                <w:lang w:val="en-GB" w:eastAsia="en-GB"/>
              </w:rPr>
            </w:pPr>
            <w:r w:rsidRPr="001C68F6">
              <w:rPr>
                <w:rFonts w:asciiTheme="minorBidi" w:hAnsiTheme="minorBidi" w:cstheme="minorBidi"/>
                <w:sz w:val="16"/>
                <w:szCs w:val="16"/>
                <w:lang w:val="en-GB" w:eastAsia="en-GB"/>
              </w:rPr>
              <w:t>Type of project (subsector)</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0A13F5" w:rsidP="001F5815">
            <w:pPr>
              <w:spacing w:before="40" w:after="40"/>
              <w:jc w:val="right"/>
              <w:rPr>
                <w:rFonts w:asciiTheme="minorBidi" w:hAnsiTheme="minorBidi"/>
                <w:sz w:val="16"/>
                <w:szCs w:val="16"/>
                <w:lang w:eastAsia="en-GB"/>
              </w:rPr>
            </w:pPr>
            <w:r w:rsidRPr="001C68F6">
              <w:rPr>
                <w:rFonts w:asciiTheme="minorBidi" w:hAnsiTheme="minorBidi"/>
                <w:sz w:val="16"/>
                <w:szCs w:val="16"/>
                <w:lang w:eastAsia="en-GB"/>
              </w:rPr>
              <w:t>Rural development-value chain</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9A7C4D" w:rsidRPr="001C68F6" w:rsidRDefault="009A7C4D"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b/>
                <w:bCs/>
                <w:sz w:val="16"/>
                <w:szCs w:val="16"/>
                <w:lang w:val="en-GB" w:eastAsia="en-GB"/>
              </w:rPr>
            </w:pPr>
            <w:proofErr w:type="spellStart"/>
            <w:r w:rsidRPr="001C68F6">
              <w:rPr>
                <w:rFonts w:asciiTheme="minorBidi" w:hAnsiTheme="minorBidi" w:cstheme="minorBidi"/>
                <w:sz w:val="16"/>
                <w:szCs w:val="16"/>
                <w:lang w:val="en-GB" w:eastAsia="en-GB"/>
              </w:rPr>
              <w:t>Cofinancier</w:t>
            </w:r>
            <w:proofErr w:type="spellEnd"/>
            <w:r w:rsidRPr="001C68F6">
              <w:rPr>
                <w:rFonts w:asciiTheme="minorBidi" w:hAnsiTheme="minorBidi" w:cstheme="minorBidi"/>
                <w:sz w:val="16"/>
                <w:szCs w:val="16"/>
                <w:lang w:val="en-GB" w:eastAsia="en-GB"/>
              </w:rPr>
              <w:t xml:space="preserve"> 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r>
      <w:tr w:rsidR="00F82074"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Financing type</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sz w:val="16"/>
                <w:szCs w:val="16"/>
                <w:lang w:eastAsia="en-GB"/>
              </w:rPr>
            </w:pPr>
            <w:r w:rsidRPr="001C68F6">
              <w:rPr>
                <w:rFonts w:asciiTheme="minorBidi" w:hAnsiTheme="minorBidi"/>
                <w:sz w:val="16"/>
                <w:szCs w:val="16"/>
                <w:lang w:eastAsia="en-GB"/>
              </w:rPr>
              <w:t>IFAD-initiated and exclusively financed</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8A4E0A" w:rsidRPr="001C68F6" w:rsidRDefault="008A4E0A"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b/>
                <w:bCs/>
                <w:sz w:val="16"/>
                <w:szCs w:val="16"/>
                <w:lang w:val="en-GB" w:eastAsia="en-GB"/>
              </w:rPr>
            </w:pPr>
            <w:proofErr w:type="spellStart"/>
            <w:r w:rsidRPr="001C68F6">
              <w:rPr>
                <w:rFonts w:asciiTheme="minorBidi" w:hAnsiTheme="minorBidi" w:cstheme="minorBidi"/>
                <w:sz w:val="16"/>
                <w:szCs w:val="16"/>
                <w:lang w:val="en-GB" w:eastAsia="en-GB"/>
              </w:rPr>
              <w:t>Cofinancier</w:t>
            </w:r>
            <w:proofErr w:type="spellEnd"/>
            <w:r w:rsidRPr="001C68F6">
              <w:rPr>
                <w:rFonts w:asciiTheme="minorBidi" w:hAnsiTheme="minorBidi" w:cstheme="minorBidi"/>
                <w:sz w:val="16"/>
                <w:szCs w:val="16"/>
                <w:lang w:val="en-GB" w:eastAsia="en-GB"/>
              </w:rPr>
              <w:t xml:space="preserve"> 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r>
      <w:tr w:rsidR="00F82074"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Financing terms</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sz w:val="16"/>
                <w:szCs w:val="16"/>
                <w:lang w:eastAsia="en-GB"/>
              </w:rPr>
            </w:pPr>
            <w:r w:rsidRPr="001C68F6">
              <w:rPr>
                <w:rFonts w:asciiTheme="minorBidi" w:hAnsiTheme="minorBidi"/>
                <w:sz w:val="16"/>
                <w:szCs w:val="16"/>
                <w:lang w:eastAsia="en-GB"/>
              </w:rPr>
              <w:t>Grant under debt sustainability framework (DSF)</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8A4E0A" w:rsidRPr="001C68F6" w:rsidRDefault="008A4E0A"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b/>
                <w:bCs/>
                <w:sz w:val="16"/>
                <w:szCs w:val="16"/>
                <w:lang w:val="en-GB" w:eastAsia="en-GB"/>
              </w:rPr>
            </w:pPr>
            <w:proofErr w:type="spellStart"/>
            <w:r w:rsidRPr="001C68F6">
              <w:rPr>
                <w:rFonts w:asciiTheme="minorBidi" w:hAnsiTheme="minorBidi" w:cstheme="minorBidi"/>
                <w:sz w:val="16"/>
                <w:szCs w:val="16"/>
                <w:lang w:val="en-GB" w:eastAsia="en-GB"/>
              </w:rPr>
              <w:t>Cofinancier</w:t>
            </w:r>
            <w:proofErr w:type="spellEnd"/>
            <w:r w:rsidRPr="001C68F6">
              <w:rPr>
                <w:rFonts w:asciiTheme="minorBidi" w:hAnsiTheme="minorBidi" w:cstheme="minorBidi"/>
                <w:sz w:val="16"/>
                <w:szCs w:val="16"/>
                <w:lang w:val="en-GB" w:eastAsia="en-GB"/>
              </w:rPr>
              <w:t xml:space="preserve"> 3</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r>
      <w:tr w:rsidR="00F82074"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Date of approval</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343706" w:rsidP="001F5815">
            <w:pPr>
              <w:spacing w:before="40" w:after="40"/>
              <w:jc w:val="right"/>
              <w:rPr>
                <w:rFonts w:asciiTheme="minorBidi" w:hAnsiTheme="minorBidi"/>
                <w:sz w:val="16"/>
                <w:szCs w:val="16"/>
                <w:lang w:eastAsia="en-GB"/>
              </w:rPr>
            </w:pPr>
            <w:r w:rsidRPr="001C68F6">
              <w:rPr>
                <w:rFonts w:asciiTheme="minorBidi" w:hAnsiTheme="minorBidi"/>
                <w:sz w:val="16"/>
                <w:szCs w:val="16"/>
                <w:lang w:eastAsia="en-GB"/>
              </w:rPr>
              <w:t>13 Dec 2011</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9A7C4D" w:rsidRPr="001C68F6" w:rsidRDefault="009A7C4D"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b/>
                <w:bCs/>
                <w:sz w:val="16"/>
                <w:szCs w:val="16"/>
                <w:lang w:val="en-GB" w:eastAsia="en-GB"/>
              </w:rPr>
            </w:pPr>
            <w:proofErr w:type="spellStart"/>
            <w:r w:rsidRPr="001C68F6">
              <w:rPr>
                <w:rFonts w:asciiTheme="minorBidi" w:hAnsiTheme="minorBidi" w:cstheme="minorBidi"/>
                <w:sz w:val="16"/>
                <w:szCs w:val="16"/>
                <w:lang w:val="en-GB" w:eastAsia="en-GB"/>
              </w:rPr>
              <w:t>Cofinancier</w:t>
            </w:r>
            <w:proofErr w:type="spellEnd"/>
            <w:r w:rsidRPr="001C68F6">
              <w:rPr>
                <w:rFonts w:asciiTheme="minorBidi" w:hAnsiTheme="minorBidi" w:cstheme="minorBidi"/>
                <w:sz w:val="16"/>
                <w:szCs w:val="16"/>
                <w:lang w:val="en-GB" w:eastAsia="en-GB"/>
              </w:rPr>
              <w:t xml:space="preserve"> 4</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r>
      <w:tr w:rsidR="00F82074"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 xml:space="preserve">Date of </w:t>
            </w:r>
            <w:r w:rsidR="00C76EBA" w:rsidRPr="001C68F6">
              <w:rPr>
                <w:rFonts w:asciiTheme="minorBidi" w:hAnsiTheme="minorBidi" w:cstheme="minorBidi"/>
                <w:sz w:val="16"/>
                <w:szCs w:val="16"/>
                <w:lang w:val="en-GB" w:eastAsia="en-GB"/>
              </w:rPr>
              <w:t>financial</w:t>
            </w:r>
            <w:r w:rsidRPr="001C68F6">
              <w:rPr>
                <w:rFonts w:asciiTheme="minorBidi" w:hAnsiTheme="minorBidi" w:cstheme="minorBidi"/>
                <w:sz w:val="16"/>
                <w:szCs w:val="16"/>
                <w:lang w:val="en-GB" w:eastAsia="en-GB"/>
              </w:rPr>
              <w:t xml:space="preserve"> signature</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343706" w:rsidP="001F5815">
            <w:pPr>
              <w:spacing w:before="40" w:after="40"/>
              <w:jc w:val="right"/>
              <w:rPr>
                <w:rFonts w:asciiTheme="minorBidi" w:hAnsiTheme="minorBidi"/>
                <w:sz w:val="16"/>
                <w:szCs w:val="16"/>
                <w:lang w:eastAsia="en-GB"/>
              </w:rPr>
            </w:pPr>
            <w:r w:rsidRPr="001C68F6">
              <w:rPr>
                <w:rFonts w:asciiTheme="minorBidi" w:hAnsiTheme="minorBidi"/>
                <w:sz w:val="16"/>
                <w:szCs w:val="16"/>
                <w:lang w:eastAsia="en-GB"/>
              </w:rPr>
              <w:t>24 Feb 2012</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9A7C4D" w:rsidRPr="001C68F6" w:rsidRDefault="009A7C4D"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Beneficiaries</w:t>
            </w:r>
            <w:r w:rsidR="00C27568" w:rsidRPr="001C68F6">
              <w:rPr>
                <w:rFonts w:asciiTheme="minorBidi" w:hAnsiTheme="minorBidi" w:cstheme="minorBidi"/>
                <w:sz w:val="16"/>
                <w:szCs w:val="16"/>
                <w:lang w:val="en-GB" w:eastAsia="en-GB"/>
              </w:rPr>
              <w:t xml:space="preserve"> (seed grower/seed producer/private sect)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A1780"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3.98</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27568"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22.8%</w:t>
            </w: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C27568"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w:t>
            </w:r>
          </w:p>
        </w:tc>
      </w:tr>
      <w:tr w:rsidR="00F82074"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Date of effectiveness</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343706" w:rsidP="001F5815">
            <w:pPr>
              <w:spacing w:before="40" w:after="40"/>
              <w:jc w:val="right"/>
              <w:rPr>
                <w:rFonts w:asciiTheme="minorBidi" w:hAnsiTheme="minorBidi"/>
                <w:sz w:val="16"/>
                <w:szCs w:val="16"/>
                <w:lang w:eastAsia="en-GB"/>
              </w:rPr>
            </w:pPr>
            <w:r w:rsidRPr="001C68F6">
              <w:rPr>
                <w:rFonts w:asciiTheme="minorBidi" w:hAnsiTheme="minorBidi"/>
                <w:sz w:val="16"/>
                <w:szCs w:val="16"/>
                <w:lang w:eastAsia="en-GB"/>
              </w:rPr>
              <w:t>24 Feb 2012</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9A7C4D" w:rsidRPr="001C68F6" w:rsidRDefault="009A7C4D"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 xml:space="preserve">Other sources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after="40"/>
              <w:jc w:val="right"/>
              <w:rPr>
                <w:rFonts w:asciiTheme="minorBidi" w:hAnsiTheme="minorBidi" w:cstheme="minorBidi"/>
                <w:sz w:val="16"/>
                <w:szCs w:val="16"/>
                <w:lang w:val="en-GB" w:eastAsia="en-GB"/>
              </w:rPr>
            </w:pPr>
          </w:p>
        </w:tc>
      </w:tr>
      <w:tr w:rsidR="009A7C4D"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A7C4D" w:rsidRPr="001C68F6" w:rsidRDefault="00F256FB" w:rsidP="001F5815">
            <w:pPr>
              <w:spacing w:before="40" w:after="40"/>
              <w:rPr>
                <w:rFonts w:asciiTheme="minorBidi" w:hAnsiTheme="minorBidi" w:cstheme="minorBidi"/>
                <w:sz w:val="16"/>
                <w:szCs w:val="16"/>
                <w:lang w:val="en-GB" w:eastAsia="en-GB"/>
              </w:rPr>
            </w:pPr>
            <w:r>
              <w:rPr>
                <w:rFonts w:asciiTheme="minorBidi" w:hAnsiTheme="minorBidi" w:cstheme="minorBidi"/>
                <w:sz w:val="16"/>
                <w:szCs w:val="16"/>
                <w:lang w:val="en-GB" w:eastAsia="en-GB"/>
              </w:rPr>
              <w:t>Financing agreement</w:t>
            </w:r>
            <w:r w:rsidR="009A7C4D" w:rsidRPr="001C68F6">
              <w:rPr>
                <w:rFonts w:asciiTheme="minorBidi" w:hAnsiTheme="minorBidi" w:cstheme="minorBidi"/>
                <w:sz w:val="16"/>
                <w:szCs w:val="16"/>
                <w:lang w:val="en-GB" w:eastAsia="en-GB"/>
              </w:rPr>
              <w:t xml:space="preserve"> amendments</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4B06FF" w:rsidP="001F5815">
            <w:pPr>
              <w:spacing w:before="40" w:after="40"/>
              <w:jc w:val="right"/>
              <w:rPr>
                <w:rFonts w:asciiTheme="minorBidi" w:hAnsiTheme="minorBidi"/>
                <w:sz w:val="16"/>
                <w:szCs w:val="16"/>
                <w:lang w:eastAsia="en-GB"/>
              </w:rPr>
            </w:pPr>
            <w:r>
              <w:rPr>
                <w:rFonts w:asciiTheme="minorBidi" w:hAnsiTheme="minorBidi"/>
                <w:sz w:val="16"/>
                <w:szCs w:val="16"/>
                <w:lang w:eastAsia="en-GB"/>
              </w:rPr>
              <w:t>February 2017</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9A7C4D" w:rsidRPr="001C68F6" w:rsidRDefault="009A7C4D"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9A7C4D" w:rsidP="001F5815">
            <w:pPr>
              <w:spacing w:before="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 xml:space="preserve">Number of beneficiaries </w:t>
            </w:r>
          </w:p>
        </w:tc>
        <w:tc>
          <w:tcPr>
            <w:tcW w:w="1685"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A46816" w:rsidP="001F5815">
            <w:pPr>
              <w:spacing w:before="40" w:after="40"/>
              <w:jc w:val="right"/>
              <w:rPr>
                <w:rFonts w:asciiTheme="minorBidi" w:hAnsiTheme="minorBidi" w:cstheme="minorBidi"/>
                <w:sz w:val="16"/>
                <w:szCs w:val="16"/>
                <w:lang w:val="en-GB" w:eastAsia="en-GB"/>
              </w:rPr>
            </w:pPr>
            <w:r>
              <w:rPr>
                <w:rFonts w:asciiTheme="minorBidi" w:hAnsiTheme="minorBidi" w:cstheme="minorBidi"/>
                <w:sz w:val="16"/>
                <w:szCs w:val="16"/>
                <w:lang w:val="en-GB" w:eastAsia="en-GB"/>
              </w:rPr>
              <w:t>108,</w:t>
            </w:r>
            <w:r w:rsidR="00E12989" w:rsidRPr="001C68F6">
              <w:rPr>
                <w:rFonts w:asciiTheme="minorBidi" w:hAnsiTheme="minorBidi" w:cstheme="minorBidi"/>
                <w:sz w:val="16"/>
                <w:szCs w:val="16"/>
                <w:lang w:val="en-GB" w:eastAsia="en-GB"/>
              </w:rPr>
              <w:t>000</w:t>
            </w:r>
          </w:p>
          <w:p w:rsidR="00D37CF7" w:rsidRPr="001C68F6" w:rsidRDefault="00A46816" w:rsidP="001F5815">
            <w:pPr>
              <w:spacing w:before="40" w:after="40"/>
              <w:jc w:val="right"/>
              <w:rPr>
                <w:rFonts w:asciiTheme="minorBidi" w:hAnsiTheme="minorBidi" w:cstheme="minorBidi"/>
                <w:sz w:val="16"/>
                <w:szCs w:val="16"/>
                <w:lang w:val="en-GB" w:eastAsia="en-GB"/>
              </w:rPr>
            </w:pPr>
            <w:r>
              <w:rPr>
                <w:rFonts w:asciiTheme="minorBidi" w:hAnsiTheme="minorBidi" w:cstheme="minorBidi"/>
                <w:sz w:val="16"/>
                <w:szCs w:val="16"/>
                <w:lang w:val="en-GB" w:eastAsia="en-GB"/>
              </w:rPr>
              <w:t>69,</w:t>
            </w:r>
            <w:r w:rsidR="00D37CF7" w:rsidRPr="001C68F6">
              <w:rPr>
                <w:rFonts w:asciiTheme="minorBidi" w:hAnsiTheme="minorBidi" w:cstheme="minorBidi"/>
                <w:sz w:val="16"/>
                <w:szCs w:val="16"/>
                <w:lang w:val="en-GB" w:eastAsia="en-GB"/>
              </w:rPr>
              <w:t>000 (revised</w:t>
            </w:r>
            <w:r w:rsidR="00D15E80" w:rsidRPr="001C68F6">
              <w:rPr>
                <w:rFonts w:asciiTheme="minorBidi" w:hAnsiTheme="minorBidi" w:cstheme="minorBidi"/>
                <w:sz w:val="16"/>
                <w:szCs w:val="16"/>
                <w:lang w:val="en-GB" w:eastAsia="en-GB"/>
              </w:rPr>
              <w:t xml:space="preserve"> at MTR</w:t>
            </w:r>
            <w:r w:rsidR="00D37CF7" w:rsidRPr="001C68F6">
              <w:rPr>
                <w:rFonts w:asciiTheme="minorBidi" w:hAnsiTheme="minorBidi" w:cstheme="minorBidi"/>
                <w:sz w:val="16"/>
                <w:szCs w:val="16"/>
                <w:lang w:val="en-GB" w:eastAsia="en-GB"/>
              </w:rPr>
              <w:t>)</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D37CF7" w:rsidRPr="001C68F6" w:rsidRDefault="00A46816" w:rsidP="001F5815">
            <w:pPr>
              <w:spacing w:before="40" w:after="40"/>
              <w:jc w:val="right"/>
              <w:rPr>
                <w:rFonts w:asciiTheme="minorBidi" w:hAnsiTheme="minorBidi" w:cstheme="minorBidi"/>
                <w:sz w:val="16"/>
                <w:szCs w:val="16"/>
                <w:lang w:val="en-GB" w:eastAsia="en-GB"/>
              </w:rPr>
            </w:pPr>
            <w:r>
              <w:rPr>
                <w:rFonts w:asciiTheme="minorBidi" w:hAnsiTheme="minorBidi" w:cstheme="minorBidi"/>
                <w:sz w:val="16"/>
                <w:szCs w:val="16"/>
                <w:lang w:val="en-GB" w:eastAsia="en-GB"/>
              </w:rPr>
              <w:t>52,</w:t>
            </w:r>
            <w:r w:rsidR="00D37CF7" w:rsidRPr="001C68F6">
              <w:rPr>
                <w:rFonts w:asciiTheme="minorBidi" w:hAnsiTheme="minorBidi" w:cstheme="minorBidi"/>
                <w:sz w:val="16"/>
                <w:szCs w:val="16"/>
                <w:lang w:val="en-GB" w:eastAsia="en-GB"/>
              </w:rPr>
              <w:t>494 direct</w:t>
            </w:r>
          </w:p>
          <w:p w:rsidR="009A7C4D" w:rsidRPr="001C68F6" w:rsidRDefault="00E12989"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6</w:t>
            </w:r>
            <w:r w:rsidR="00A46816">
              <w:rPr>
                <w:rFonts w:asciiTheme="minorBidi" w:hAnsiTheme="minorBidi" w:cstheme="minorBidi"/>
                <w:sz w:val="16"/>
                <w:szCs w:val="16"/>
                <w:lang w:val="en-GB" w:eastAsia="en-GB"/>
              </w:rPr>
              <w:t>7,</w:t>
            </w:r>
            <w:r w:rsidR="00D37CF7" w:rsidRPr="001C68F6">
              <w:rPr>
                <w:rFonts w:asciiTheme="minorBidi" w:hAnsiTheme="minorBidi" w:cstheme="minorBidi"/>
                <w:sz w:val="16"/>
                <w:szCs w:val="16"/>
                <w:lang w:val="en-GB" w:eastAsia="en-GB"/>
              </w:rPr>
              <w:t>906 indirect</w:t>
            </w:r>
            <w:r w:rsidR="006E5FCA">
              <w:rPr>
                <w:rFonts w:asciiTheme="minorBidi" w:hAnsiTheme="minorBidi" w:cstheme="minorBidi"/>
                <w:sz w:val="16"/>
                <w:szCs w:val="16"/>
                <w:lang w:val="en-GB" w:eastAsia="en-GB"/>
              </w:rPr>
              <w:t xml:space="preserve"> (PCR)</w:t>
            </w:r>
          </w:p>
        </w:tc>
      </w:tr>
      <w:tr w:rsidR="009A7C4D"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A7C4D" w:rsidRPr="001C68F6" w:rsidRDefault="0055515D" w:rsidP="001F5815">
            <w:pPr>
              <w:spacing w:before="40" w:after="40"/>
              <w:rPr>
                <w:rFonts w:asciiTheme="minorBidi" w:hAnsiTheme="minorBidi" w:cstheme="minorBidi"/>
                <w:sz w:val="16"/>
                <w:szCs w:val="16"/>
                <w:lang w:val="en-GB" w:eastAsia="en-GB"/>
              </w:rPr>
            </w:pPr>
            <w:r>
              <w:rPr>
                <w:rFonts w:asciiTheme="minorBidi" w:hAnsiTheme="minorBidi" w:cstheme="minorBidi"/>
                <w:sz w:val="16"/>
                <w:szCs w:val="16"/>
                <w:lang w:val="en-GB" w:eastAsia="en-GB"/>
              </w:rPr>
              <w:t>Financing</w:t>
            </w:r>
            <w:r w:rsidR="009A7C4D" w:rsidRPr="001C68F6">
              <w:rPr>
                <w:rFonts w:asciiTheme="minorBidi" w:hAnsiTheme="minorBidi" w:cstheme="minorBidi"/>
                <w:sz w:val="16"/>
                <w:szCs w:val="16"/>
                <w:lang w:val="en-GB" w:eastAsia="en-GB"/>
              </w:rPr>
              <w:t xml:space="preserve"> closure extensions</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55515D" w:rsidP="001F5815">
            <w:pPr>
              <w:spacing w:before="40" w:after="40"/>
              <w:jc w:val="right"/>
              <w:rPr>
                <w:rFonts w:asciiTheme="minorBidi" w:hAnsiTheme="minorBidi"/>
                <w:sz w:val="16"/>
                <w:szCs w:val="16"/>
                <w:lang w:eastAsia="en-GB"/>
              </w:rPr>
            </w:pPr>
            <w:r>
              <w:rPr>
                <w:rFonts w:asciiTheme="minorBidi" w:hAnsiTheme="minorBidi"/>
                <w:sz w:val="16"/>
                <w:szCs w:val="16"/>
                <w:lang w:eastAsia="en-GB"/>
              </w:rPr>
              <w:t>None</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9A7C4D" w:rsidRPr="001C68F6" w:rsidRDefault="009A7C4D"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8A4E0A"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Project completion</w:t>
            </w:r>
          </w:p>
        </w:tc>
        <w:tc>
          <w:tcPr>
            <w:tcW w:w="16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A7C4D" w:rsidRPr="001C68F6" w:rsidRDefault="00D15E80" w:rsidP="001F5815">
            <w:pPr>
              <w:spacing w:before="40" w:after="40"/>
              <w:jc w:val="right"/>
              <w:rPr>
                <w:rFonts w:asciiTheme="minorBidi" w:hAnsiTheme="minorBidi" w:cstheme="minorBidi"/>
                <w:sz w:val="16"/>
                <w:szCs w:val="16"/>
                <w:lang w:val="fr-FR" w:eastAsia="en-GB"/>
              </w:rPr>
            </w:pPr>
            <w:r w:rsidRPr="001C68F6">
              <w:rPr>
                <w:rFonts w:asciiTheme="minorBidi" w:hAnsiTheme="minorBidi" w:cstheme="minorBidi"/>
                <w:sz w:val="16"/>
                <w:szCs w:val="16"/>
                <w:lang w:val="fr-FR" w:eastAsia="en-GB"/>
              </w:rPr>
              <w:t>31 March 2018</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9A7C4D" w:rsidRPr="001C68F6" w:rsidRDefault="00D15E80" w:rsidP="001F5815">
            <w:pPr>
              <w:spacing w:before="40" w:after="40"/>
              <w:jc w:val="right"/>
              <w:rPr>
                <w:rFonts w:asciiTheme="minorBidi" w:hAnsiTheme="minorBidi" w:cstheme="minorBidi"/>
                <w:sz w:val="16"/>
                <w:szCs w:val="16"/>
                <w:lang w:val="fr-FR" w:eastAsia="en-GB"/>
              </w:rPr>
            </w:pPr>
            <w:r w:rsidRPr="001C68F6">
              <w:rPr>
                <w:rFonts w:asciiTheme="minorBidi" w:hAnsiTheme="minorBidi" w:cstheme="minorBidi"/>
                <w:sz w:val="16"/>
                <w:szCs w:val="16"/>
                <w:lang w:val="fr-FR" w:eastAsia="en-GB"/>
              </w:rPr>
              <w:t>31 March 2018</w:t>
            </w:r>
          </w:p>
        </w:tc>
      </w:tr>
      <w:tr w:rsidR="008A4E0A"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Country programme managers</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1F5815" w:rsidRDefault="008A4E0A" w:rsidP="001F5815">
            <w:pPr>
              <w:jc w:val="right"/>
              <w:rPr>
                <w:rFonts w:asciiTheme="minorBidi" w:hAnsiTheme="minorBidi"/>
                <w:sz w:val="16"/>
                <w:szCs w:val="16"/>
                <w:lang w:eastAsia="en-GB"/>
              </w:rPr>
            </w:pPr>
            <w:r w:rsidRPr="001C68F6">
              <w:rPr>
                <w:rFonts w:asciiTheme="minorBidi" w:hAnsiTheme="minorBidi"/>
                <w:sz w:val="16"/>
                <w:szCs w:val="16"/>
                <w:lang w:eastAsia="en-GB"/>
              </w:rPr>
              <w:t xml:space="preserve">Tarek Ahmed </w:t>
            </w:r>
          </w:p>
          <w:p w:rsidR="00990C54" w:rsidRDefault="008A4E0A" w:rsidP="001F5815">
            <w:pPr>
              <w:jc w:val="right"/>
              <w:rPr>
                <w:rFonts w:asciiTheme="minorBidi" w:hAnsiTheme="minorBidi"/>
                <w:sz w:val="16"/>
                <w:szCs w:val="16"/>
                <w:lang w:eastAsia="en-GB"/>
              </w:rPr>
            </w:pPr>
            <w:r w:rsidRPr="001C68F6">
              <w:rPr>
                <w:rFonts w:asciiTheme="minorBidi" w:hAnsiTheme="minorBidi"/>
                <w:sz w:val="16"/>
                <w:szCs w:val="16"/>
                <w:lang w:eastAsia="en-GB"/>
              </w:rPr>
              <w:t xml:space="preserve">(Jul 2017-present), Mohamed Abdelgadir (Jun 2016-Jul 2017), </w:t>
            </w:r>
          </w:p>
          <w:p w:rsidR="001F5815" w:rsidRDefault="008A4E0A" w:rsidP="001F5815">
            <w:pPr>
              <w:jc w:val="right"/>
              <w:rPr>
                <w:rFonts w:asciiTheme="minorBidi" w:hAnsiTheme="minorBidi"/>
                <w:sz w:val="16"/>
                <w:szCs w:val="16"/>
                <w:lang w:eastAsia="en-GB"/>
              </w:rPr>
            </w:pPr>
            <w:r w:rsidRPr="001C68F6">
              <w:rPr>
                <w:rFonts w:asciiTheme="minorBidi" w:hAnsiTheme="minorBidi"/>
                <w:sz w:val="16"/>
                <w:szCs w:val="16"/>
                <w:lang w:eastAsia="en-GB"/>
              </w:rPr>
              <w:t xml:space="preserve">Hani Abdelkader  Elsadani Salem </w:t>
            </w:r>
          </w:p>
          <w:p w:rsidR="001F5815" w:rsidRDefault="008A4E0A" w:rsidP="001F5815">
            <w:pPr>
              <w:jc w:val="right"/>
              <w:rPr>
                <w:rFonts w:asciiTheme="minorBidi" w:hAnsiTheme="minorBidi"/>
                <w:sz w:val="16"/>
                <w:szCs w:val="16"/>
                <w:lang w:eastAsia="en-GB"/>
              </w:rPr>
            </w:pPr>
            <w:r w:rsidRPr="001C68F6">
              <w:rPr>
                <w:rFonts w:asciiTheme="minorBidi" w:hAnsiTheme="minorBidi"/>
                <w:sz w:val="16"/>
                <w:szCs w:val="16"/>
                <w:lang w:eastAsia="en-GB"/>
              </w:rPr>
              <w:t xml:space="preserve">(Jan 2013-May 2016), Mohamed Abdelgadir (2012-2013), </w:t>
            </w:r>
          </w:p>
          <w:p w:rsidR="001F5815" w:rsidRDefault="008A4E0A" w:rsidP="001F5815">
            <w:pPr>
              <w:jc w:val="right"/>
              <w:rPr>
                <w:rFonts w:asciiTheme="minorBidi" w:hAnsiTheme="minorBidi"/>
                <w:sz w:val="16"/>
                <w:szCs w:val="16"/>
                <w:lang w:eastAsia="en-GB"/>
              </w:rPr>
            </w:pPr>
            <w:r w:rsidRPr="001C68F6">
              <w:rPr>
                <w:rFonts w:asciiTheme="minorBidi" w:hAnsiTheme="minorBidi"/>
                <w:sz w:val="16"/>
                <w:szCs w:val="16"/>
                <w:lang w:eastAsia="en-GB"/>
              </w:rPr>
              <w:t xml:space="preserve">Rasha Omar </w:t>
            </w:r>
          </w:p>
          <w:p w:rsidR="008A4E0A" w:rsidRPr="001C68F6" w:rsidRDefault="008A4E0A" w:rsidP="001F5815">
            <w:pPr>
              <w:jc w:val="right"/>
              <w:rPr>
                <w:rFonts w:asciiTheme="minorBidi" w:hAnsiTheme="minorBidi"/>
                <w:sz w:val="16"/>
                <w:szCs w:val="16"/>
                <w:lang w:eastAsia="en-GB"/>
              </w:rPr>
            </w:pPr>
            <w:r w:rsidRPr="001C68F6">
              <w:rPr>
                <w:rFonts w:asciiTheme="minorBidi" w:hAnsiTheme="minorBidi"/>
                <w:sz w:val="16"/>
                <w:szCs w:val="16"/>
                <w:lang w:eastAsia="en-GB"/>
              </w:rPr>
              <w:t>(2004-2012</w:t>
            </w:r>
            <w:r w:rsidR="0055515D">
              <w:rPr>
                <w:rFonts w:asciiTheme="minorBidi" w:hAnsiTheme="minorBidi"/>
                <w:sz w:val="16"/>
                <w:szCs w:val="16"/>
                <w:lang w:eastAsia="en-GB"/>
              </w:rPr>
              <w:t>)</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8A4E0A" w:rsidRPr="001C68F6" w:rsidRDefault="008A4E0A"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Financing closing date</w:t>
            </w:r>
          </w:p>
        </w:tc>
        <w:tc>
          <w:tcPr>
            <w:tcW w:w="16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A4E0A" w:rsidRPr="001C68F6" w:rsidRDefault="006E5FCA" w:rsidP="001F5815">
            <w:pPr>
              <w:spacing w:before="40" w:after="40"/>
              <w:jc w:val="right"/>
              <w:rPr>
                <w:rFonts w:asciiTheme="minorBidi" w:hAnsiTheme="minorBidi" w:cstheme="minorBidi"/>
                <w:sz w:val="16"/>
                <w:szCs w:val="16"/>
                <w:lang w:val="en-GB" w:eastAsia="en-GB"/>
              </w:rPr>
            </w:pPr>
            <w:r>
              <w:rPr>
                <w:rFonts w:asciiTheme="minorBidi" w:hAnsiTheme="minorBidi" w:cstheme="minorBidi"/>
                <w:sz w:val="16"/>
                <w:szCs w:val="16"/>
                <w:lang w:val="en-GB" w:eastAsia="en-GB"/>
              </w:rPr>
              <w:t>30 Sep 2018</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bCs/>
                <w:spacing w:val="2"/>
                <w:sz w:val="16"/>
                <w:szCs w:val="16"/>
              </w:rPr>
              <w:t>30 Sep 2018</w:t>
            </w:r>
          </w:p>
        </w:tc>
      </w:tr>
      <w:tr w:rsidR="008A4E0A"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ind w:right="-9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Regional director(s)</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r w:rsidRPr="001C68F6">
              <w:rPr>
                <w:rFonts w:asciiTheme="minorBidi" w:hAnsiTheme="minorBidi"/>
                <w:sz w:val="16"/>
                <w:szCs w:val="16"/>
                <w:lang w:eastAsia="en-GB"/>
              </w:rPr>
              <w:t>Khalida Bouzar</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8A4E0A" w:rsidRPr="001C68F6" w:rsidRDefault="008A4E0A"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Mid-term review</w:t>
            </w:r>
          </w:p>
        </w:tc>
        <w:tc>
          <w:tcPr>
            <w:tcW w:w="1685"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bCs/>
                <w:spacing w:val="2"/>
                <w:sz w:val="16"/>
                <w:szCs w:val="16"/>
              </w:rPr>
              <w:t>29 Sep 2014</w:t>
            </w:r>
          </w:p>
        </w:tc>
      </w:tr>
      <w:tr w:rsidR="008A4E0A"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ind w:right="-9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Project completion report reviewer</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r w:rsidRPr="001C68F6">
              <w:rPr>
                <w:rFonts w:asciiTheme="minorBidi" w:hAnsiTheme="minorBidi"/>
                <w:sz w:val="16"/>
                <w:szCs w:val="16"/>
                <w:lang w:eastAsia="en-GB"/>
              </w:rPr>
              <w:t>Diane Abi Khalil</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8A4E0A" w:rsidRPr="001C68F6" w:rsidRDefault="008A4E0A"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IFAD financing disbursement at project completion (%)</w:t>
            </w:r>
          </w:p>
        </w:tc>
        <w:tc>
          <w:tcPr>
            <w:tcW w:w="1685"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F82074" w:rsidP="001F5815">
            <w:pPr>
              <w:spacing w:before="40" w:after="40"/>
              <w:jc w:val="right"/>
              <w:rPr>
                <w:rFonts w:asciiTheme="minorBidi" w:hAnsiTheme="minorBidi" w:cstheme="minorBidi"/>
                <w:sz w:val="16"/>
                <w:szCs w:val="16"/>
                <w:lang w:val="en-GB" w:eastAsia="en-GB"/>
              </w:rPr>
            </w:pPr>
            <w:r>
              <w:rPr>
                <w:rFonts w:asciiTheme="minorBidi" w:hAnsiTheme="minorBidi" w:cstheme="minorBidi"/>
                <w:sz w:val="16"/>
                <w:szCs w:val="16"/>
                <w:lang w:val="en-GB" w:eastAsia="en-GB"/>
              </w:rPr>
              <w:t>100% (in the currency of financing, SDR)</w:t>
            </w:r>
          </w:p>
        </w:tc>
      </w:tr>
      <w:tr w:rsidR="008A4E0A" w:rsidRPr="001C68F6" w:rsidTr="00990C54">
        <w:trPr>
          <w:jc w:val="center"/>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Project completion report quality control panel</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r w:rsidRPr="001C68F6">
              <w:rPr>
                <w:rFonts w:asciiTheme="minorBidi" w:hAnsiTheme="minorBidi"/>
                <w:sz w:val="16"/>
                <w:szCs w:val="16"/>
                <w:lang w:eastAsia="en-GB"/>
              </w:rPr>
              <w:t>Fumiko Nakai</w:t>
            </w:r>
          </w:p>
        </w:tc>
        <w:tc>
          <w:tcPr>
            <w:tcW w:w="28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rsidR="008A4E0A" w:rsidRPr="001C68F6" w:rsidRDefault="008A4E0A" w:rsidP="00A11D68">
            <w:pPr>
              <w:spacing w:before="40" w:after="40"/>
              <w:jc w:val="both"/>
              <w:rPr>
                <w:rFonts w:asciiTheme="minorBidi" w:hAnsiTheme="minorBidi" w:cstheme="minorBidi"/>
                <w:sz w:val="16"/>
                <w:szCs w:val="16"/>
                <w:lang w:val="en-GB" w:eastAsia="en-GB"/>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Date of the project completion report</w:t>
            </w:r>
          </w:p>
        </w:tc>
        <w:tc>
          <w:tcPr>
            <w:tcW w:w="1685"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8A4E0A" w:rsidRPr="001C68F6" w:rsidRDefault="008A4E0A" w:rsidP="001F5815">
            <w:pPr>
              <w:spacing w:before="40" w:after="40"/>
              <w:jc w:val="right"/>
              <w:rPr>
                <w:rFonts w:asciiTheme="minorBidi" w:hAnsiTheme="minorBidi" w:cstheme="minorBidi"/>
                <w:sz w:val="16"/>
                <w:szCs w:val="16"/>
                <w:lang w:val="en-GB" w:eastAsia="en-GB"/>
              </w:rPr>
            </w:pPr>
            <w:r w:rsidRPr="001C68F6">
              <w:rPr>
                <w:rFonts w:asciiTheme="minorBidi" w:hAnsiTheme="minorBidi" w:cstheme="minorBidi"/>
                <w:sz w:val="16"/>
                <w:szCs w:val="16"/>
                <w:lang w:val="en-GB" w:eastAsia="en-GB"/>
              </w:rPr>
              <w:t>June 2018</w:t>
            </w:r>
          </w:p>
        </w:tc>
      </w:tr>
    </w:tbl>
    <w:p w:rsidR="00990C54" w:rsidRDefault="00401CF5" w:rsidP="00990C54">
      <w:pPr>
        <w:spacing w:before="60"/>
        <w:jc w:val="both"/>
        <w:rPr>
          <w:rFonts w:asciiTheme="minorBidi" w:hAnsiTheme="minorBidi" w:cstheme="minorBidi"/>
          <w:sz w:val="16"/>
          <w:szCs w:val="16"/>
          <w:lang w:val="en-GB" w:eastAsia="en-GB"/>
        </w:rPr>
      </w:pPr>
      <w:r>
        <w:rPr>
          <w:rFonts w:asciiTheme="minorBidi" w:hAnsiTheme="minorBidi" w:cstheme="minorBidi"/>
          <w:sz w:val="16"/>
          <w:szCs w:val="16"/>
        </w:rPr>
        <w:t xml:space="preserve">Source: </w:t>
      </w:r>
      <w:r w:rsidR="00C27568">
        <w:rPr>
          <w:rFonts w:asciiTheme="minorBidi" w:hAnsiTheme="minorBidi" w:cstheme="minorBidi"/>
          <w:sz w:val="16"/>
          <w:szCs w:val="16"/>
        </w:rPr>
        <w:t>President's report</w:t>
      </w:r>
      <w:r w:rsidR="00DF2210">
        <w:rPr>
          <w:rFonts w:asciiTheme="minorBidi" w:hAnsiTheme="minorBidi" w:cstheme="minorBidi"/>
          <w:sz w:val="16"/>
          <w:szCs w:val="16"/>
        </w:rPr>
        <w:t>,</w:t>
      </w:r>
      <w:r w:rsidR="00C27568">
        <w:rPr>
          <w:rFonts w:asciiTheme="minorBidi" w:hAnsiTheme="minorBidi" w:cstheme="minorBidi"/>
          <w:sz w:val="16"/>
          <w:szCs w:val="16"/>
        </w:rPr>
        <w:t xml:space="preserve"> P</w:t>
      </w:r>
      <w:r w:rsidR="00990C54">
        <w:rPr>
          <w:rFonts w:asciiTheme="minorBidi" w:hAnsiTheme="minorBidi" w:cstheme="minorBidi"/>
          <w:sz w:val="16"/>
          <w:szCs w:val="16"/>
        </w:rPr>
        <w:t xml:space="preserve">roject </w:t>
      </w:r>
      <w:r w:rsidR="00C27568">
        <w:rPr>
          <w:rFonts w:asciiTheme="minorBidi" w:hAnsiTheme="minorBidi" w:cstheme="minorBidi"/>
          <w:sz w:val="16"/>
          <w:szCs w:val="16"/>
        </w:rPr>
        <w:t>C</w:t>
      </w:r>
      <w:r w:rsidR="00990C54">
        <w:rPr>
          <w:rFonts w:asciiTheme="minorBidi" w:hAnsiTheme="minorBidi" w:cstheme="minorBidi"/>
          <w:sz w:val="16"/>
          <w:szCs w:val="16"/>
        </w:rPr>
        <w:t xml:space="preserve">ompletion </w:t>
      </w:r>
      <w:r w:rsidR="00C27568">
        <w:rPr>
          <w:rFonts w:asciiTheme="minorBidi" w:hAnsiTheme="minorBidi" w:cstheme="minorBidi"/>
          <w:sz w:val="16"/>
          <w:szCs w:val="16"/>
        </w:rPr>
        <w:t>R</w:t>
      </w:r>
      <w:r w:rsidR="00990C54">
        <w:rPr>
          <w:rFonts w:asciiTheme="minorBidi" w:hAnsiTheme="minorBidi" w:cstheme="minorBidi"/>
          <w:sz w:val="16"/>
          <w:szCs w:val="16"/>
        </w:rPr>
        <w:t>eport (PCR)</w:t>
      </w:r>
      <w:r w:rsidR="00DF2210">
        <w:rPr>
          <w:rFonts w:asciiTheme="minorBidi" w:hAnsiTheme="minorBidi" w:cstheme="minorBidi"/>
          <w:sz w:val="16"/>
          <w:szCs w:val="16"/>
        </w:rPr>
        <w:t>, IFAD database (Oracle Business Intelligence)</w:t>
      </w:r>
      <w:r>
        <w:rPr>
          <w:rFonts w:asciiTheme="minorBidi" w:hAnsiTheme="minorBidi" w:cstheme="minorBidi"/>
          <w:sz w:val="16"/>
          <w:szCs w:val="16"/>
          <w:lang w:val="en-GB" w:eastAsia="en-GB"/>
        </w:rPr>
        <w:t>.</w:t>
      </w:r>
    </w:p>
    <w:p w:rsidR="00990C54" w:rsidRDefault="00990C54">
      <w:pPr>
        <w:rPr>
          <w:rFonts w:asciiTheme="minorBidi" w:hAnsiTheme="minorBidi" w:cstheme="minorBidi"/>
          <w:sz w:val="16"/>
          <w:szCs w:val="16"/>
          <w:lang w:val="en-GB" w:eastAsia="en-GB"/>
        </w:rPr>
      </w:pPr>
      <w:r>
        <w:rPr>
          <w:rFonts w:asciiTheme="minorBidi" w:hAnsiTheme="minorBidi" w:cstheme="minorBidi"/>
          <w:sz w:val="16"/>
          <w:szCs w:val="16"/>
          <w:lang w:val="en-GB" w:eastAsia="en-GB"/>
        </w:rPr>
        <w:br w:type="page"/>
      </w:r>
    </w:p>
    <w:p w:rsidR="002639D7" w:rsidRDefault="004522C3" w:rsidP="00A11D68">
      <w:pPr>
        <w:pStyle w:val="Heading1"/>
        <w:tabs>
          <w:tab w:val="clear" w:pos="278"/>
          <w:tab w:val="num" w:pos="567"/>
        </w:tabs>
        <w:spacing w:after="120"/>
        <w:ind w:left="568" w:hanging="284"/>
        <w:jc w:val="both"/>
      </w:pPr>
      <w:bookmarkStart w:id="0" w:name="_Toc323554914"/>
      <w:bookmarkStart w:id="1" w:name="_Toc323557623"/>
      <w:bookmarkStart w:id="2" w:name="_Toc342056697"/>
      <w:r>
        <w:t>P</w:t>
      </w:r>
      <w:r w:rsidR="002639D7">
        <w:t>roject</w:t>
      </w:r>
      <w:bookmarkEnd w:id="0"/>
      <w:bookmarkEnd w:id="1"/>
      <w:bookmarkEnd w:id="2"/>
      <w:r>
        <w:t xml:space="preserve"> outline</w:t>
      </w:r>
    </w:p>
    <w:p w:rsidR="005F1C3C" w:rsidRPr="007146E5" w:rsidRDefault="009536D8" w:rsidP="00990C54">
      <w:pPr>
        <w:pStyle w:val="ListParagraph"/>
        <w:numPr>
          <w:ilvl w:val="0"/>
          <w:numId w:val="10"/>
        </w:numPr>
        <w:spacing w:after="120"/>
        <w:ind w:left="567" w:hanging="567"/>
        <w:contextualSpacing w:val="0"/>
        <w:rPr>
          <w:lang w:val="en-GB"/>
        </w:rPr>
      </w:pPr>
      <w:r w:rsidRPr="00C86251">
        <w:rPr>
          <w:b/>
          <w:bCs/>
        </w:rPr>
        <w:t>Introduction.</w:t>
      </w:r>
      <w:r>
        <w:t xml:space="preserve"> </w:t>
      </w:r>
      <w:r w:rsidR="008A4E0A">
        <w:t>Following the approval in</w:t>
      </w:r>
      <w:r w:rsidR="00411330">
        <w:t xml:space="preserve"> December 2011</w:t>
      </w:r>
      <w:r w:rsidR="008A4E0A">
        <w:t>, t</w:t>
      </w:r>
      <w:r w:rsidR="008A4E0A" w:rsidRPr="00BA0DF5">
        <w:t xml:space="preserve">he </w:t>
      </w:r>
      <w:r w:rsidR="008A4E0A">
        <w:t xml:space="preserve">financing agreement for the Seed </w:t>
      </w:r>
      <w:r w:rsidR="00672AC9">
        <w:t>D</w:t>
      </w:r>
      <w:r w:rsidR="008A4E0A">
        <w:t xml:space="preserve">evelopment </w:t>
      </w:r>
      <w:r w:rsidR="00672AC9">
        <w:t>P</w:t>
      </w:r>
      <w:r w:rsidR="008A4E0A">
        <w:t>roject (SDP)</w:t>
      </w:r>
      <w:r w:rsidR="00411330">
        <w:t xml:space="preserve"> became effective in February 2012</w:t>
      </w:r>
      <w:r w:rsidR="00F82074">
        <w:t>.</w:t>
      </w:r>
      <w:r w:rsidR="00411330">
        <w:t xml:space="preserve"> </w:t>
      </w:r>
      <w:r w:rsidR="00F82074">
        <w:t xml:space="preserve">The project completed in March 2018 after </w:t>
      </w:r>
      <w:r w:rsidR="00411330">
        <w:t>six years</w:t>
      </w:r>
      <w:r w:rsidR="00F82074">
        <w:t xml:space="preserve"> of implementation</w:t>
      </w:r>
      <w:r w:rsidR="00411330">
        <w:t xml:space="preserve">. </w:t>
      </w:r>
      <w:r w:rsidR="006E5FCA">
        <w:t xml:space="preserve">A </w:t>
      </w:r>
      <w:proofErr w:type="gramStart"/>
      <w:r w:rsidR="006E5FCA">
        <w:t>p</w:t>
      </w:r>
      <w:r w:rsidR="00F82074">
        <w:t>roject completion report validation</w:t>
      </w:r>
      <w:proofErr w:type="gramEnd"/>
      <w:r w:rsidR="00F82074">
        <w:t xml:space="preserve"> (</w:t>
      </w:r>
      <w:r w:rsidR="00C86251">
        <w:t>PCRV</w:t>
      </w:r>
      <w:r w:rsidR="00F82074">
        <w:t>)</w:t>
      </w:r>
      <w:r w:rsidR="00C86251">
        <w:t xml:space="preserve"> </w:t>
      </w:r>
      <w:r w:rsidR="00F82074">
        <w:t xml:space="preserve">is normally prepared based on a desk review, but this PCRV </w:t>
      </w:r>
      <w:r w:rsidR="00C86251">
        <w:t xml:space="preserve">has </w:t>
      </w:r>
      <w:r w:rsidR="00A46816">
        <w:t>also benefited from the in-country</w:t>
      </w:r>
      <w:r w:rsidR="00C86251">
        <w:t xml:space="preserve"> mission in the context of a country strategy and programme evaluation (CSPE) conducted in September </w:t>
      </w:r>
      <w:r w:rsidR="00231A78">
        <w:t>and Octo</w:t>
      </w:r>
      <w:r w:rsidR="00C86251">
        <w:t>ber 2019</w:t>
      </w:r>
      <w:r w:rsidR="00231A78">
        <w:t>.</w:t>
      </w:r>
      <w:r w:rsidR="00C86251" w:rsidRPr="00C86251">
        <w:rPr>
          <w:b/>
          <w:bCs/>
        </w:rPr>
        <w:t xml:space="preserve"> </w:t>
      </w:r>
    </w:p>
    <w:p w:rsidR="0039000E" w:rsidRPr="00262EAB" w:rsidRDefault="009536D8" w:rsidP="00262EAB">
      <w:pPr>
        <w:pStyle w:val="ListParagraph"/>
        <w:numPr>
          <w:ilvl w:val="0"/>
          <w:numId w:val="10"/>
        </w:numPr>
        <w:spacing w:after="120"/>
        <w:ind w:left="567" w:hanging="567"/>
        <w:contextualSpacing w:val="0"/>
        <w:rPr>
          <w:lang w:val="en-GB"/>
        </w:rPr>
      </w:pPr>
      <w:r w:rsidRPr="00262EAB">
        <w:rPr>
          <w:b/>
          <w:bCs/>
        </w:rPr>
        <w:t>Project area.</w:t>
      </w:r>
      <w:r>
        <w:t xml:space="preserve"> </w:t>
      </w:r>
      <w:r w:rsidR="009051FE">
        <w:t xml:space="preserve">SDP </w:t>
      </w:r>
      <w:r w:rsidR="00411330" w:rsidRPr="00262EAB">
        <w:rPr>
          <w:lang w:val="en-GB"/>
        </w:rPr>
        <w:t>operated in</w:t>
      </w:r>
      <w:r w:rsidR="009051FE" w:rsidRPr="00262EAB">
        <w:rPr>
          <w:lang w:val="en-GB"/>
        </w:rPr>
        <w:t xml:space="preserve"> </w:t>
      </w:r>
      <w:r w:rsidR="00D15E80" w:rsidRPr="00262EAB">
        <w:rPr>
          <w:lang w:val="en-GB"/>
        </w:rPr>
        <w:t>seven</w:t>
      </w:r>
      <w:r w:rsidR="009051FE" w:rsidRPr="00262EAB">
        <w:rPr>
          <w:lang w:val="en-GB"/>
        </w:rPr>
        <w:t xml:space="preserve"> localities</w:t>
      </w:r>
      <w:r w:rsidR="00411330" w:rsidRPr="00262EAB">
        <w:rPr>
          <w:lang w:val="en-GB"/>
        </w:rPr>
        <w:t xml:space="preserve"> in the </w:t>
      </w:r>
      <w:r w:rsidR="00F82074" w:rsidRPr="00262EAB">
        <w:rPr>
          <w:lang w:val="en-GB"/>
        </w:rPr>
        <w:t xml:space="preserve">two </w:t>
      </w:r>
      <w:proofErr w:type="spellStart"/>
      <w:r w:rsidR="00411330" w:rsidRPr="00262EAB">
        <w:rPr>
          <w:lang w:val="en-GB"/>
        </w:rPr>
        <w:t>Kordofan</w:t>
      </w:r>
      <w:proofErr w:type="spellEnd"/>
      <w:r w:rsidR="00411330" w:rsidRPr="00262EAB">
        <w:rPr>
          <w:lang w:val="en-GB"/>
        </w:rPr>
        <w:t xml:space="preserve"> State</w:t>
      </w:r>
      <w:r w:rsidR="00F82074" w:rsidRPr="00262EAB">
        <w:rPr>
          <w:lang w:val="en-GB"/>
        </w:rPr>
        <w:t>s:</w:t>
      </w:r>
      <w:r w:rsidR="00A46816" w:rsidRPr="00262EAB">
        <w:rPr>
          <w:lang w:val="en-GB"/>
        </w:rPr>
        <w:t xml:space="preserve"> (</w:t>
      </w:r>
      <w:proofErr w:type="spellStart"/>
      <w:r w:rsidR="00A46816" w:rsidRPr="00262EAB">
        <w:rPr>
          <w:lang w:val="en-GB"/>
        </w:rPr>
        <w:t>i</w:t>
      </w:r>
      <w:proofErr w:type="spellEnd"/>
      <w:r w:rsidR="00A46816" w:rsidRPr="00262EAB">
        <w:rPr>
          <w:lang w:val="en-GB"/>
        </w:rPr>
        <w:t>) </w:t>
      </w:r>
      <w:proofErr w:type="spellStart"/>
      <w:r w:rsidR="009051FE" w:rsidRPr="00262EAB">
        <w:rPr>
          <w:lang w:val="en-GB"/>
        </w:rPr>
        <w:t>Rahad</w:t>
      </w:r>
      <w:proofErr w:type="spellEnd"/>
      <w:r w:rsidR="00D15E80" w:rsidRPr="00262EAB">
        <w:rPr>
          <w:lang w:val="en-GB"/>
        </w:rPr>
        <w:t xml:space="preserve">, Um </w:t>
      </w:r>
      <w:proofErr w:type="spellStart"/>
      <w:r w:rsidR="00D15E80" w:rsidRPr="00262EAB">
        <w:rPr>
          <w:lang w:val="en-GB"/>
        </w:rPr>
        <w:t>Ruwaba</w:t>
      </w:r>
      <w:proofErr w:type="spellEnd"/>
      <w:r w:rsidR="009051FE" w:rsidRPr="00262EAB">
        <w:rPr>
          <w:lang w:val="en-GB"/>
        </w:rPr>
        <w:t xml:space="preserve"> and </w:t>
      </w:r>
      <w:proofErr w:type="spellStart"/>
      <w:r w:rsidR="009051FE" w:rsidRPr="00262EAB">
        <w:rPr>
          <w:lang w:val="en-GB"/>
        </w:rPr>
        <w:t>Sheikan</w:t>
      </w:r>
      <w:proofErr w:type="spellEnd"/>
      <w:r w:rsidR="00CA0951" w:rsidRPr="00262EAB">
        <w:rPr>
          <w:lang w:val="en-GB"/>
        </w:rPr>
        <w:t xml:space="preserve"> in North </w:t>
      </w:r>
      <w:proofErr w:type="spellStart"/>
      <w:r w:rsidR="00CA0951" w:rsidRPr="00262EAB">
        <w:rPr>
          <w:lang w:val="en-GB"/>
        </w:rPr>
        <w:t>Kordofan</w:t>
      </w:r>
      <w:proofErr w:type="spellEnd"/>
      <w:r w:rsidR="009051FE" w:rsidRPr="00262EAB">
        <w:rPr>
          <w:lang w:val="en-GB"/>
        </w:rPr>
        <w:t xml:space="preserve">; </w:t>
      </w:r>
      <w:r w:rsidR="002110EF" w:rsidRPr="00262EAB">
        <w:rPr>
          <w:lang w:val="en-GB"/>
        </w:rPr>
        <w:t xml:space="preserve">and </w:t>
      </w:r>
      <w:r w:rsidR="009051FE" w:rsidRPr="00262EAB">
        <w:rPr>
          <w:lang w:val="en-GB"/>
        </w:rPr>
        <w:t xml:space="preserve">(ii) </w:t>
      </w:r>
      <w:proofErr w:type="spellStart"/>
      <w:r w:rsidR="009051FE" w:rsidRPr="00262EAB">
        <w:rPr>
          <w:lang w:val="en-GB"/>
        </w:rPr>
        <w:t>Abbassiya</w:t>
      </w:r>
      <w:proofErr w:type="spellEnd"/>
      <w:r w:rsidR="00D15E80" w:rsidRPr="00262EAB">
        <w:rPr>
          <w:lang w:val="en-GB"/>
        </w:rPr>
        <w:t xml:space="preserve">, Rashad, </w:t>
      </w:r>
      <w:proofErr w:type="spellStart"/>
      <w:r w:rsidR="00D15E80" w:rsidRPr="00262EAB">
        <w:rPr>
          <w:lang w:val="en-GB"/>
        </w:rPr>
        <w:t>Atadamoon</w:t>
      </w:r>
      <w:proofErr w:type="spellEnd"/>
      <w:r w:rsidR="009051FE" w:rsidRPr="00262EAB">
        <w:rPr>
          <w:lang w:val="en-GB"/>
        </w:rPr>
        <w:t xml:space="preserve"> and Abu </w:t>
      </w:r>
      <w:proofErr w:type="spellStart"/>
      <w:r w:rsidR="009051FE" w:rsidRPr="00262EAB">
        <w:rPr>
          <w:lang w:val="en-GB"/>
        </w:rPr>
        <w:t>Gubeiha</w:t>
      </w:r>
      <w:proofErr w:type="spellEnd"/>
      <w:r w:rsidR="00CA0951" w:rsidRPr="00262EAB">
        <w:rPr>
          <w:lang w:val="en-GB"/>
        </w:rPr>
        <w:t xml:space="preserve"> in South </w:t>
      </w:r>
      <w:proofErr w:type="spellStart"/>
      <w:r w:rsidR="00CA0951" w:rsidRPr="00262EAB">
        <w:rPr>
          <w:lang w:val="en-GB"/>
        </w:rPr>
        <w:t>Kordofan</w:t>
      </w:r>
      <w:proofErr w:type="spellEnd"/>
      <w:r w:rsidR="009051FE" w:rsidRPr="00262EAB">
        <w:rPr>
          <w:lang w:val="en-GB"/>
        </w:rPr>
        <w:t>.</w:t>
      </w:r>
      <w:r w:rsidR="00D15E80">
        <w:rPr>
          <w:rStyle w:val="FootnoteReference"/>
          <w:lang w:val="en-GB"/>
        </w:rPr>
        <w:footnoteReference w:id="2"/>
      </w:r>
      <w:r w:rsidR="009051FE" w:rsidRPr="00262EAB">
        <w:rPr>
          <w:lang w:val="en-GB"/>
        </w:rPr>
        <w:t xml:space="preserve"> </w:t>
      </w:r>
      <w:r w:rsidR="00A55FC3" w:rsidRPr="00262EAB">
        <w:rPr>
          <w:lang w:val="en-GB"/>
        </w:rPr>
        <w:t xml:space="preserve">These </w:t>
      </w:r>
      <w:r w:rsidR="00D15E80" w:rsidRPr="00262EAB">
        <w:rPr>
          <w:lang w:val="en-GB"/>
        </w:rPr>
        <w:t>seven</w:t>
      </w:r>
      <w:r w:rsidR="00A55FC3" w:rsidRPr="00262EAB">
        <w:rPr>
          <w:lang w:val="en-GB"/>
        </w:rPr>
        <w:t xml:space="preserve"> localities</w:t>
      </w:r>
      <w:r w:rsidR="004B06FF" w:rsidRPr="00262EAB">
        <w:rPr>
          <w:lang w:val="en-GB"/>
        </w:rPr>
        <w:t xml:space="preserve"> </w:t>
      </w:r>
      <w:r w:rsidR="00F82074" w:rsidRPr="00262EAB">
        <w:rPr>
          <w:lang w:val="en-GB"/>
        </w:rPr>
        <w:t xml:space="preserve">are </w:t>
      </w:r>
      <w:r w:rsidR="004B06FF" w:rsidRPr="00262EAB">
        <w:rPr>
          <w:lang w:val="en-GB"/>
        </w:rPr>
        <w:t>characterised by</w:t>
      </w:r>
      <w:r w:rsidR="009051FE" w:rsidRPr="00262EAB">
        <w:rPr>
          <w:lang w:val="en-GB"/>
        </w:rPr>
        <w:t xml:space="preserve"> </w:t>
      </w:r>
      <w:r w:rsidR="004B06FF" w:rsidRPr="00262EAB">
        <w:rPr>
          <w:lang w:val="en-GB"/>
        </w:rPr>
        <w:t>a diversified production system</w:t>
      </w:r>
      <w:r w:rsidR="0039000E" w:rsidRPr="00262EAB">
        <w:rPr>
          <w:lang w:val="en-GB"/>
        </w:rPr>
        <w:t>.</w:t>
      </w:r>
      <w:r w:rsidR="002A745B" w:rsidRPr="00262EAB">
        <w:rPr>
          <w:lang w:val="en-GB"/>
        </w:rPr>
        <w:t xml:space="preserve"> The </w:t>
      </w:r>
      <w:r w:rsidR="002A745B" w:rsidRPr="00E07A14">
        <w:t>SDP</w:t>
      </w:r>
      <w:r w:rsidR="002A745B">
        <w:t xml:space="preserve"> area</w:t>
      </w:r>
      <w:r w:rsidR="002A745B" w:rsidRPr="00E07A14">
        <w:t xml:space="preserve"> overlapped with</w:t>
      </w:r>
      <w:r w:rsidR="002A745B">
        <w:t xml:space="preserve"> that</w:t>
      </w:r>
      <w:r w:rsidR="002A745B" w:rsidRPr="00E07A14">
        <w:t xml:space="preserve"> </w:t>
      </w:r>
      <w:r w:rsidR="002A745B">
        <w:t>of</w:t>
      </w:r>
      <w:r w:rsidR="002A745B" w:rsidRPr="00E07A14">
        <w:t xml:space="preserve"> </w:t>
      </w:r>
      <w:r w:rsidR="002A745B" w:rsidRPr="00262EAB">
        <w:rPr>
          <w:lang w:val="en-GB"/>
        </w:rPr>
        <w:t>Western Sudan Resources Management Programme (WSRMP), another IFAD-supported project</w:t>
      </w:r>
      <w:r w:rsidR="00D10905" w:rsidRPr="00262EAB">
        <w:rPr>
          <w:lang w:val="en-GB"/>
        </w:rPr>
        <w:t xml:space="preserve"> implemented between 2005 and 2017</w:t>
      </w:r>
      <w:r w:rsidR="007220E5" w:rsidRPr="00262EAB">
        <w:rPr>
          <w:lang w:val="en-GB"/>
        </w:rPr>
        <w:t xml:space="preserve">. </w:t>
      </w:r>
    </w:p>
    <w:p w:rsidR="00737F28" w:rsidRDefault="009536D8" w:rsidP="000D468F">
      <w:pPr>
        <w:pStyle w:val="ListParagraph"/>
        <w:numPr>
          <w:ilvl w:val="0"/>
          <w:numId w:val="10"/>
        </w:numPr>
        <w:spacing w:after="120"/>
        <w:ind w:left="567" w:hanging="567"/>
        <w:contextualSpacing w:val="0"/>
        <w:rPr>
          <w:lang w:val="en-GB"/>
        </w:rPr>
      </w:pPr>
      <w:r w:rsidRPr="009536D8">
        <w:rPr>
          <w:b/>
          <w:bCs/>
        </w:rPr>
        <w:t>Project goal, objectives and components.</w:t>
      </w:r>
      <w:r w:rsidR="00737F28">
        <w:t xml:space="preserve"> </w:t>
      </w:r>
      <w:r w:rsidR="00737F28" w:rsidRPr="00737F28">
        <w:rPr>
          <w:lang w:val="en-GB"/>
        </w:rPr>
        <w:t xml:space="preserve">The project’s overall goal, </w:t>
      </w:r>
      <w:r w:rsidR="00737F28">
        <w:t>as stated in the President's report</w:t>
      </w:r>
      <w:r w:rsidR="00990C54">
        <w:t>,</w:t>
      </w:r>
      <w:r w:rsidR="00737F28" w:rsidRPr="00737F28">
        <w:rPr>
          <w:lang w:val="en-GB"/>
        </w:rPr>
        <w:t xml:space="preserve"> </w:t>
      </w:r>
      <w:r w:rsidR="00FF62A3">
        <w:rPr>
          <w:lang w:val="en-GB"/>
        </w:rPr>
        <w:t>wa</w:t>
      </w:r>
      <w:r w:rsidR="00737F28" w:rsidRPr="00737F28">
        <w:rPr>
          <w:lang w:val="en-GB"/>
        </w:rPr>
        <w:t xml:space="preserve">s to improve the food security, incomes and resilience to shocks of smallholder producers in </w:t>
      </w:r>
      <w:proofErr w:type="spellStart"/>
      <w:r w:rsidR="00737F28" w:rsidRPr="00737F28">
        <w:rPr>
          <w:lang w:val="en-GB"/>
        </w:rPr>
        <w:t>rainfed</w:t>
      </w:r>
      <w:proofErr w:type="spellEnd"/>
      <w:r w:rsidR="00737F28" w:rsidRPr="00737F28">
        <w:rPr>
          <w:lang w:val="en-GB"/>
        </w:rPr>
        <w:t xml:space="preserve"> areas of North </w:t>
      </w:r>
      <w:proofErr w:type="spellStart"/>
      <w:r w:rsidR="00737F28" w:rsidRPr="00737F28">
        <w:rPr>
          <w:lang w:val="en-GB"/>
        </w:rPr>
        <w:t>Kordofan</w:t>
      </w:r>
      <w:proofErr w:type="spellEnd"/>
      <w:r w:rsidR="00737F28" w:rsidRPr="00737F28">
        <w:rPr>
          <w:lang w:val="en-GB"/>
        </w:rPr>
        <w:t xml:space="preserve"> and South </w:t>
      </w:r>
      <w:proofErr w:type="spellStart"/>
      <w:r w:rsidR="00737F28" w:rsidRPr="00737F28">
        <w:rPr>
          <w:lang w:val="en-GB"/>
        </w:rPr>
        <w:t>Kordofan</w:t>
      </w:r>
      <w:proofErr w:type="spellEnd"/>
      <w:r w:rsidR="00737F28" w:rsidRPr="00737F28">
        <w:rPr>
          <w:lang w:val="en-GB"/>
        </w:rPr>
        <w:t xml:space="preserve">. Its objective </w:t>
      </w:r>
      <w:r w:rsidR="00FF62A3">
        <w:rPr>
          <w:lang w:val="en-GB"/>
        </w:rPr>
        <w:t>wa</w:t>
      </w:r>
      <w:r w:rsidR="00737F28" w:rsidRPr="00737F28">
        <w:rPr>
          <w:lang w:val="en-GB"/>
        </w:rPr>
        <w:t xml:space="preserve">s to increase crop productivity for smallholder producers adopting certified seeds in North </w:t>
      </w:r>
      <w:proofErr w:type="spellStart"/>
      <w:r w:rsidR="00737F28" w:rsidRPr="00737F28">
        <w:rPr>
          <w:lang w:val="en-GB"/>
        </w:rPr>
        <w:t>Kordofan</w:t>
      </w:r>
      <w:proofErr w:type="spellEnd"/>
      <w:r w:rsidR="00737F28" w:rsidRPr="00737F28">
        <w:rPr>
          <w:lang w:val="en-GB"/>
        </w:rPr>
        <w:t xml:space="preserve"> and South </w:t>
      </w:r>
      <w:proofErr w:type="spellStart"/>
      <w:r w:rsidR="00737F28" w:rsidRPr="00737F28">
        <w:rPr>
          <w:lang w:val="en-GB"/>
        </w:rPr>
        <w:t>Kordofan</w:t>
      </w:r>
      <w:proofErr w:type="spellEnd"/>
      <w:r w:rsidR="00737F28" w:rsidRPr="00737F28">
        <w:rPr>
          <w:lang w:val="en-GB"/>
        </w:rPr>
        <w:t xml:space="preserve">. </w:t>
      </w:r>
      <w:r w:rsidR="000D468F">
        <w:rPr>
          <w:lang w:val="en-GB"/>
        </w:rPr>
        <w:t xml:space="preserve">This objective </w:t>
      </w:r>
      <w:r w:rsidR="00D2094E">
        <w:rPr>
          <w:lang w:val="en-GB"/>
        </w:rPr>
        <w:t xml:space="preserve">statement </w:t>
      </w:r>
      <w:proofErr w:type="gramStart"/>
      <w:r w:rsidR="000D468F">
        <w:rPr>
          <w:lang w:val="en-GB"/>
        </w:rPr>
        <w:t>was slightly adjusted</w:t>
      </w:r>
      <w:proofErr w:type="gramEnd"/>
      <w:r w:rsidR="000D468F">
        <w:rPr>
          <w:lang w:val="en-GB"/>
        </w:rPr>
        <w:t xml:space="preserve"> to include “improved seeds” in addition to certified seeds</w:t>
      </w:r>
      <w:r w:rsidR="00A46816">
        <w:rPr>
          <w:lang w:val="en-GB"/>
        </w:rPr>
        <w:t xml:space="preserve"> during the course of project implementation</w:t>
      </w:r>
      <w:r w:rsidR="000D468F">
        <w:rPr>
          <w:lang w:val="en-GB"/>
        </w:rPr>
        <w:t>.</w:t>
      </w:r>
      <w:r w:rsidR="000D468F">
        <w:rPr>
          <w:rStyle w:val="FootnoteReference"/>
          <w:lang w:val="en-GB"/>
        </w:rPr>
        <w:footnoteReference w:id="3"/>
      </w:r>
      <w:r w:rsidR="000D468F">
        <w:rPr>
          <w:lang w:val="en-GB"/>
        </w:rPr>
        <w:t xml:space="preserve">  </w:t>
      </w:r>
    </w:p>
    <w:p w:rsidR="00F33F86" w:rsidRDefault="00F33F86" w:rsidP="00990C54">
      <w:pPr>
        <w:pStyle w:val="ListParagraph"/>
        <w:numPr>
          <w:ilvl w:val="0"/>
          <w:numId w:val="10"/>
        </w:numPr>
        <w:spacing w:after="120"/>
        <w:ind w:left="567" w:hanging="567"/>
        <w:contextualSpacing w:val="0"/>
        <w:rPr>
          <w:lang w:val="en-GB"/>
        </w:rPr>
      </w:pPr>
      <w:r w:rsidRPr="00F33F86">
        <w:rPr>
          <w:lang w:val="en-GB"/>
        </w:rPr>
        <w:t xml:space="preserve">The </w:t>
      </w:r>
      <w:r w:rsidR="00926768">
        <w:rPr>
          <w:lang w:val="en-GB"/>
        </w:rPr>
        <w:t>project comprised</w:t>
      </w:r>
      <w:r w:rsidRPr="00F33F86">
        <w:rPr>
          <w:lang w:val="en-GB"/>
        </w:rPr>
        <w:t xml:space="preserve"> four components</w:t>
      </w:r>
      <w:r w:rsidR="00990C54" w:rsidRPr="00F33F86">
        <w:rPr>
          <w:lang w:val="en-GB"/>
        </w:rPr>
        <w:t>:</w:t>
      </w:r>
      <w:r w:rsidR="00D10905">
        <w:rPr>
          <w:rStyle w:val="FootnoteReference"/>
          <w:lang w:val="en-GB"/>
        </w:rPr>
        <w:footnoteReference w:id="4"/>
      </w:r>
      <w:r w:rsidRPr="00F33F86">
        <w:rPr>
          <w:lang w:val="en-GB"/>
        </w:rPr>
        <w:t xml:space="preserve"> </w:t>
      </w:r>
    </w:p>
    <w:p w:rsidR="00C748B1" w:rsidRDefault="00F33F86" w:rsidP="00BD5F4F">
      <w:pPr>
        <w:pStyle w:val="ListParagraph"/>
        <w:numPr>
          <w:ilvl w:val="0"/>
          <w:numId w:val="13"/>
        </w:numPr>
        <w:spacing w:after="120"/>
        <w:ind w:left="993" w:hanging="426"/>
        <w:contextualSpacing w:val="0"/>
        <w:rPr>
          <w:lang w:val="en-GB"/>
        </w:rPr>
      </w:pPr>
      <w:r w:rsidRPr="00C748B1">
        <w:rPr>
          <w:lang w:val="en-GB"/>
        </w:rPr>
        <w:t xml:space="preserve">Component 1 </w:t>
      </w:r>
      <w:r w:rsidR="00F82074">
        <w:rPr>
          <w:i/>
          <w:iCs/>
          <w:lang w:val="en-GB"/>
        </w:rPr>
        <w:t>S</w:t>
      </w:r>
      <w:r w:rsidRPr="00C748B1">
        <w:rPr>
          <w:i/>
          <w:iCs/>
          <w:lang w:val="en-GB"/>
        </w:rPr>
        <w:t xml:space="preserve">trengthening and development of the institutional and regulatory environment </w:t>
      </w:r>
      <w:r w:rsidR="00411330" w:rsidRPr="00BA0DF5">
        <w:t xml:space="preserve">(estimated </w:t>
      </w:r>
      <w:r w:rsidR="00411330">
        <w:t>at 11</w:t>
      </w:r>
      <w:r w:rsidR="00411330" w:rsidRPr="00BA0DF5">
        <w:t xml:space="preserve"> per cent of project total cost)</w:t>
      </w:r>
      <w:r w:rsidR="00DB795A" w:rsidRPr="00C748B1">
        <w:rPr>
          <w:lang w:val="en-GB"/>
        </w:rPr>
        <w:t>.</w:t>
      </w:r>
      <w:r w:rsidR="00DB795A" w:rsidRPr="00C748B1">
        <w:rPr>
          <w:rFonts w:cs="Verdana"/>
          <w:color w:val="000000"/>
          <w:lang w:val="en-GB" w:eastAsia="en-GB"/>
        </w:rPr>
        <w:t xml:space="preserve"> </w:t>
      </w:r>
      <w:r w:rsidR="00F82074">
        <w:rPr>
          <w:lang w:val="en-GB"/>
        </w:rPr>
        <w:t>The</w:t>
      </w:r>
      <w:r w:rsidR="00AD6C5C">
        <w:rPr>
          <w:lang w:val="en-GB"/>
        </w:rPr>
        <w:t xml:space="preserve"> </w:t>
      </w:r>
      <w:r w:rsidR="00411330">
        <w:rPr>
          <w:lang w:val="en-GB"/>
        </w:rPr>
        <w:t xml:space="preserve">main </w:t>
      </w:r>
      <w:r w:rsidR="00DB795A" w:rsidRPr="00C748B1">
        <w:rPr>
          <w:lang w:val="en-GB"/>
        </w:rPr>
        <w:t xml:space="preserve">expected outcome </w:t>
      </w:r>
      <w:r w:rsidR="00F82074">
        <w:rPr>
          <w:lang w:val="en-GB"/>
        </w:rPr>
        <w:t xml:space="preserve">under this component </w:t>
      </w:r>
      <w:r w:rsidR="00DB795A" w:rsidRPr="00C748B1">
        <w:rPr>
          <w:lang w:val="en-GB"/>
        </w:rPr>
        <w:t xml:space="preserve">was </w:t>
      </w:r>
      <w:r w:rsidR="00411330">
        <w:rPr>
          <w:lang w:val="en-GB"/>
        </w:rPr>
        <w:t>the creation of a</w:t>
      </w:r>
      <w:r w:rsidR="00DB795A" w:rsidRPr="00C748B1">
        <w:rPr>
          <w:lang w:val="en-GB"/>
        </w:rPr>
        <w:t xml:space="preserve"> </w:t>
      </w:r>
      <w:r w:rsidR="00926768" w:rsidRPr="00C748B1">
        <w:rPr>
          <w:lang w:val="en-GB"/>
        </w:rPr>
        <w:t>favourable</w:t>
      </w:r>
      <w:r w:rsidR="00DB795A" w:rsidRPr="00C748B1">
        <w:rPr>
          <w:lang w:val="en-GB"/>
        </w:rPr>
        <w:t xml:space="preserve"> policy and institutional environment for the seed industry.</w:t>
      </w:r>
      <w:r w:rsidR="00C748B1" w:rsidRPr="00C748B1">
        <w:rPr>
          <w:rFonts w:ascii="Arial" w:hAnsi="Arial"/>
          <w:lang w:val="en-GB" w:eastAsia="en-GB"/>
        </w:rPr>
        <w:t xml:space="preserve"> </w:t>
      </w:r>
      <w:proofErr w:type="gramStart"/>
      <w:r w:rsidR="002841C3" w:rsidRPr="002841C3">
        <w:rPr>
          <w:lang w:val="en-GB" w:eastAsia="en-GB"/>
        </w:rPr>
        <w:t>This was to be achieved through</w:t>
      </w:r>
      <w:r w:rsidR="00411330" w:rsidRPr="004B06FF">
        <w:rPr>
          <w:lang w:val="en-GB"/>
        </w:rPr>
        <w:t>: (</w:t>
      </w:r>
      <w:proofErr w:type="spellStart"/>
      <w:r w:rsidR="00411330" w:rsidRPr="004B06FF">
        <w:rPr>
          <w:lang w:val="en-GB"/>
        </w:rPr>
        <w:t>i</w:t>
      </w:r>
      <w:proofErr w:type="spellEnd"/>
      <w:r w:rsidR="00411330" w:rsidRPr="004B06FF">
        <w:rPr>
          <w:lang w:val="en-GB"/>
        </w:rPr>
        <w:t>) introduction of an</w:t>
      </w:r>
      <w:r w:rsidR="00C748B1" w:rsidRPr="004B06FF">
        <w:rPr>
          <w:lang w:val="en-GB"/>
        </w:rPr>
        <w:t xml:space="preserve"> appropriate legislation for the seed industry particularly in relation to plant variety protection; (ii) capacity </w:t>
      </w:r>
      <w:r w:rsidR="002841C3">
        <w:rPr>
          <w:lang w:val="en-GB"/>
        </w:rPr>
        <w:t xml:space="preserve">building </w:t>
      </w:r>
      <w:r w:rsidR="00C748B1" w:rsidRPr="004B06FF">
        <w:rPr>
          <w:lang w:val="en-GB"/>
        </w:rPr>
        <w:t>of the Federal Seed Administration (FSA) to carry out its legal mandate of seed quality assurance; and (iii) establish</w:t>
      </w:r>
      <w:r w:rsidR="00411330" w:rsidRPr="004B06FF">
        <w:rPr>
          <w:lang w:val="en-GB"/>
        </w:rPr>
        <w:t>ment of</w:t>
      </w:r>
      <w:r w:rsidR="00C748B1" w:rsidRPr="004B06FF">
        <w:rPr>
          <w:lang w:val="en-GB"/>
        </w:rPr>
        <w:t xml:space="preserve"> a multi-stakeholder forum that brings together Government, the private sector, NGOs and farmers to discuss policy issues on a regular basis and</w:t>
      </w:r>
      <w:r w:rsidR="009C38B6" w:rsidRPr="004B06FF">
        <w:rPr>
          <w:lang w:val="en-GB"/>
        </w:rPr>
        <w:t xml:space="preserve"> prepare a national seed policy</w:t>
      </w:r>
      <w:r w:rsidR="00BD5F4F">
        <w:rPr>
          <w:lang w:val="en-GB"/>
        </w:rPr>
        <w:t>.</w:t>
      </w:r>
      <w:proofErr w:type="gramEnd"/>
      <w:r w:rsidR="00DB795A" w:rsidRPr="00C748B1">
        <w:rPr>
          <w:lang w:val="en-GB"/>
        </w:rPr>
        <w:t xml:space="preserve">  </w:t>
      </w:r>
    </w:p>
    <w:p w:rsidR="009C38B6" w:rsidRPr="00F75B50" w:rsidRDefault="00737F28" w:rsidP="00E31ADD">
      <w:pPr>
        <w:pStyle w:val="ListParagraph"/>
        <w:numPr>
          <w:ilvl w:val="0"/>
          <w:numId w:val="13"/>
        </w:numPr>
        <w:spacing w:after="120"/>
        <w:ind w:left="993" w:hanging="426"/>
        <w:contextualSpacing w:val="0"/>
        <w:rPr>
          <w:lang w:val="en-GB"/>
        </w:rPr>
      </w:pPr>
      <w:r w:rsidRPr="00C748B1">
        <w:rPr>
          <w:lang w:val="en-GB"/>
        </w:rPr>
        <w:t xml:space="preserve">Component 2 </w:t>
      </w:r>
      <w:r w:rsidRPr="00C748B1">
        <w:rPr>
          <w:i/>
          <w:iCs/>
          <w:lang w:val="en-GB"/>
        </w:rPr>
        <w:t>Improvement of the seed production system</w:t>
      </w:r>
      <w:r w:rsidR="00411330">
        <w:rPr>
          <w:i/>
          <w:iCs/>
          <w:lang w:val="en-GB"/>
        </w:rPr>
        <w:t xml:space="preserve"> </w:t>
      </w:r>
      <w:r w:rsidR="00411330" w:rsidRPr="00BA0DF5">
        <w:t xml:space="preserve">(estimated </w:t>
      </w:r>
      <w:r w:rsidR="00411330">
        <w:t xml:space="preserve">at </w:t>
      </w:r>
      <w:r w:rsidR="00F75B50">
        <w:t>18 per cent</w:t>
      </w:r>
      <w:r w:rsidR="00411330" w:rsidRPr="00BA0DF5">
        <w:t xml:space="preserve"> of project total cost)</w:t>
      </w:r>
      <w:r w:rsidR="00AD6C5C">
        <w:rPr>
          <w:lang w:val="en-GB"/>
        </w:rPr>
        <w:t xml:space="preserve">. </w:t>
      </w:r>
      <w:r w:rsidR="00F82074">
        <w:rPr>
          <w:lang w:val="en-GB"/>
        </w:rPr>
        <w:t>This component aimed at developing</w:t>
      </w:r>
      <w:r w:rsidR="00AD6C5C">
        <w:rPr>
          <w:lang w:val="en-GB"/>
        </w:rPr>
        <w:t xml:space="preserve"> </w:t>
      </w:r>
      <w:r w:rsidR="00AD6C5C" w:rsidRPr="00AD6C5C">
        <w:t>an economically viable seed production system that meets farmers' demands</w:t>
      </w:r>
      <w:r w:rsidR="00AD6C5C">
        <w:t>.</w:t>
      </w:r>
      <w:r w:rsidR="00F75B50">
        <w:t xml:space="preserve"> </w:t>
      </w:r>
      <w:r w:rsidR="00E31ADD">
        <w:t xml:space="preserve">This outcome was to </w:t>
      </w:r>
      <w:proofErr w:type="gramStart"/>
      <w:r w:rsidR="00E31ADD">
        <w:t>be achieved</w:t>
      </w:r>
      <w:proofErr w:type="gramEnd"/>
      <w:r w:rsidR="00E31ADD">
        <w:t xml:space="preserve"> through improved </w:t>
      </w:r>
      <w:r w:rsidR="002841C3">
        <w:t xml:space="preserve">capacity of the Agricultural Research Centre (ARC) to conduct demand-driven </w:t>
      </w:r>
      <w:r w:rsidR="009C38B6" w:rsidRPr="004B06FF">
        <w:rPr>
          <w:lang w:val="en-GB"/>
        </w:rPr>
        <w:t xml:space="preserve">participatory research, </w:t>
      </w:r>
      <w:r w:rsidR="00E31ADD">
        <w:rPr>
          <w:lang w:val="en-GB"/>
        </w:rPr>
        <w:t xml:space="preserve">production of improved </w:t>
      </w:r>
      <w:r w:rsidR="009C38B6" w:rsidRPr="004B06FF">
        <w:rPr>
          <w:lang w:val="en-GB"/>
        </w:rPr>
        <w:t>seed</w:t>
      </w:r>
      <w:r w:rsidR="00E31ADD">
        <w:rPr>
          <w:lang w:val="en-GB"/>
        </w:rPr>
        <w:t>s</w:t>
      </w:r>
      <w:r w:rsidR="009C38B6" w:rsidRPr="004B06FF">
        <w:rPr>
          <w:lang w:val="en-GB"/>
        </w:rPr>
        <w:t xml:space="preserve">, </w:t>
      </w:r>
      <w:r w:rsidR="00E31ADD">
        <w:rPr>
          <w:lang w:val="en-GB"/>
        </w:rPr>
        <w:t xml:space="preserve">improve capacity of extension services and </w:t>
      </w:r>
      <w:r w:rsidR="009C38B6" w:rsidRPr="004B06FF">
        <w:rPr>
          <w:lang w:val="en-GB"/>
        </w:rPr>
        <w:t>technical support to seed producers.</w:t>
      </w:r>
      <w:r w:rsidR="009C38B6" w:rsidRPr="00F75B50">
        <w:rPr>
          <w:lang w:val="en-GB"/>
        </w:rPr>
        <w:t xml:space="preserve"> </w:t>
      </w:r>
    </w:p>
    <w:p w:rsidR="009C38B6" w:rsidRDefault="00737F28" w:rsidP="002C73A9">
      <w:pPr>
        <w:pStyle w:val="ListParagraph"/>
        <w:numPr>
          <w:ilvl w:val="0"/>
          <w:numId w:val="13"/>
        </w:numPr>
        <w:spacing w:after="120"/>
        <w:ind w:left="993" w:hanging="426"/>
        <w:contextualSpacing w:val="0"/>
        <w:rPr>
          <w:lang w:val="en-GB"/>
        </w:rPr>
      </w:pPr>
      <w:r w:rsidRPr="009C38B6">
        <w:rPr>
          <w:lang w:val="en-GB"/>
        </w:rPr>
        <w:t xml:space="preserve">Component 3 </w:t>
      </w:r>
      <w:r w:rsidR="0086737E" w:rsidRPr="009C38B6">
        <w:rPr>
          <w:i/>
          <w:iCs/>
          <w:lang w:val="en-GB"/>
        </w:rPr>
        <w:t xml:space="preserve">Support </w:t>
      </w:r>
      <w:r w:rsidR="0086737E" w:rsidRPr="009C38B6">
        <w:rPr>
          <w:lang w:val="en-GB"/>
        </w:rPr>
        <w:t>s</w:t>
      </w:r>
      <w:r w:rsidRPr="009C38B6">
        <w:rPr>
          <w:i/>
          <w:iCs/>
          <w:lang w:val="en-GB"/>
        </w:rPr>
        <w:t>eed market</w:t>
      </w:r>
      <w:r w:rsidR="0086737E" w:rsidRPr="009C38B6">
        <w:rPr>
          <w:i/>
          <w:iCs/>
          <w:lang w:val="en-GB"/>
        </w:rPr>
        <w:t xml:space="preserve"> development</w:t>
      </w:r>
      <w:r w:rsidRPr="009C38B6">
        <w:rPr>
          <w:lang w:val="en-GB"/>
        </w:rPr>
        <w:t xml:space="preserve"> </w:t>
      </w:r>
      <w:r w:rsidR="00411330" w:rsidRPr="00BA0DF5">
        <w:t>(estimated</w:t>
      </w:r>
      <w:r w:rsidR="00F75B50">
        <w:t xml:space="preserve"> at</w:t>
      </w:r>
      <w:r w:rsidR="00411330" w:rsidRPr="00BA0DF5">
        <w:t xml:space="preserve"> </w:t>
      </w:r>
      <w:r w:rsidR="00F75B50" w:rsidRPr="009C38B6">
        <w:rPr>
          <w:lang w:val="en-GB"/>
        </w:rPr>
        <w:t xml:space="preserve">52 per cent of the project </w:t>
      </w:r>
      <w:r w:rsidR="00411330" w:rsidRPr="00BA0DF5">
        <w:t>total cost)</w:t>
      </w:r>
      <w:r w:rsidR="00F75B50">
        <w:t xml:space="preserve">. </w:t>
      </w:r>
      <w:r w:rsidR="00E31ADD">
        <w:rPr>
          <w:rFonts w:cs="Verdana"/>
          <w:color w:val="000000"/>
          <w:lang w:val="en-GB" w:eastAsia="en-GB"/>
        </w:rPr>
        <w:t xml:space="preserve">This component aimed at developing </w:t>
      </w:r>
      <w:r w:rsidR="00F75B50" w:rsidRPr="00F75B50">
        <w:rPr>
          <w:rFonts w:cs="Verdana"/>
          <w:color w:val="000000"/>
          <w:lang w:val="en-GB" w:eastAsia="en-GB"/>
        </w:rPr>
        <w:t xml:space="preserve">a certified and improved </w:t>
      </w:r>
      <w:proofErr w:type="gramStart"/>
      <w:r w:rsidR="00F75B50" w:rsidRPr="00F75B50">
        <w:rPr>
          <w:rFonts w:cs="Verdana"/>
          <w:color w:val="000000"/>
          <w:lang w:val="en-GB" w:eastAsia="en-GB"/>
        </w:rPr>
        <w:t>seed market delivery mechan</w:t>
      </w:r>
      <w:r w:rsidR="00F75B50">
        <w:rPr>
          <w:rFonts w:cs="Verdana"/>
          <w:color w:val="000000"/>
          <w:lang w:val="en-GB" w:eastAsia="en-GB"/>
        </w:rPr>
        <w:t>ism</w:t>
      </w:r>
      <w:proofErr w:type="gramEnd"/>
      <w:r w:rsidR="00F75B50">
        <w:rPr>
          <w:rFonts w:cs="Verdana"/>
          <w:color w:val="000000"/>
          <w:lang w:val="en-GB" w:eastAsia="en-GB"/>
        </w:rPr>
        <w:t xml:space="preserve">. </w:t>
      </w:r>
      <w:proofErr w:type="gramStart"/>
      <w:r w:rsidR="00E31ADD">
        <w:rPr>
          <w:rFonts w:cs="Verdana"/>
          <w:color w:val="000000"/>
          <w:lang w:val="en-GB" w:eastAsia="en-GB"/>
        </w:rPr>
        <w:t>This outcome was to be achieved by</w:t>
      </w:r>
      <w:r w:rsidR="00A83494" w:rsidRPr="004B06FF">
        <w:rPr>
          <w:lang w:val="en-GB"/>
        </w:rPr>
        <w:t>: (</w:t>
      </w:r>
      <w:proofErr w:type="spellStart"/>
      <w:r w:rsidR="00A83494" w:rsidRPr="004B06FF">
        <w:rPr>
          <w:lang w:val="en-GB"/>
        </w:rPr>
        <w:t>i</w:t>
      </w:r>
      <w:proofErr w:type="spellEnd"/>
      <w:r w:rsidR="00A83494" w:rsidRPr="004B06FF">
        <w:rPr>
          <w:lang w:val="en-GB"/>
        </w:rPr>
        <w:t>) develop</w:t>
      </w:r>
      <w:r w:rsidR="00E31ADD">
        <w:rPr>
          <w:lang w:val="en-GB"/>
        </w:rPr>
        <w:t>ing</w:t>
      </w:r>
      <w:r w:rsidR="00A83494" w:rsidRPr="004B06FF">
        <w:rPr>
          <w:lang w:val="en-GB"/>
        </w:rPr>
        <w:t xml:space="preserve"> effective demand for certified seed</w:t>
      </w:r>
      <w:r w:rsidR="002C73A9" w:rsidRPr="004B06FF">
        <w:rPr>
          <w:lang w:val="en-GB"/>
        </w:rPr>
        <w:t>;</w:t>
      </w:r>
      <w:r w:rsidR="00AE7AB6" w:rsidRPr="004B06FF">
        <w:rPr>
          <w:rStyle w:val="FootnoteReference"/>
          <w:lang w:val="en-GB"/>
        </w:rPr>
        <w:footnoteReference w:id="5"/>
      </w:r>
      <w:r w:rsidR="00A83494" w:rsidRPr="004B06FF">
        <w:rPr>
          <w:lang w:val="en-GB"/>
        </w:rPr>
        <w:t xml:space="preserve"> (ii) link</w:t>
      </w:r>
      <w:r w:rsidR="00E31ADD">
        <w:rPr>
          <w:lang w:val="en-GB"/>
        </w:rPr>
        <w:t>ing seed growers groups</w:t>
      </w:r>
      <w:r w:rsidR="00A83494" w:rsidRPr="004B06FF">
        <w:rPr>
          <w:lang w:val="en-GB"/>
        </w:rPr>
        <w:t xml:space="preserve"> </w:t>
      </w:r>
      <w:r w:rsidR="00E31ADD">
        <w:rPr>
          <w:lang w:val="en-GB"/>
        </w:rPr>
        <w:t>(</w:t>
      </w:r>
      <w:r w:rsidR="00A83494" w:rsidRPr="004B06FF">
        <w:rPr>
          <w:lang w:val="en-GB"/>
        </w:rPr>
        <w:t>SGGs</w:t>
      </w:r>
      <w:r w:rsidR="00E31ADD">
        <w:rPr>
          <w:lang w:val="en-GB"/>
        </w:rPr>
        <w:t>)</w:t>
      </w:r>
      <w:r w:rsidR="00A83494" w:rsidRPr="004B06FF">
        <w:rPr>
          <w:lang w:val="en-GB"/>
        </w:rPr>
        <w:t xml:space="preserve"> and </w:t>
      </w:r>
      <w:r w:rsidR="00E31ADD">
        <w:rPr>
          <w:lang w:val="en-GB"/>
        </w:rPr>
        <w:t>grain producers groups (</w:t>
      </w:r>
      <w:r w:rsidR="00A83494" w:rsidRPr="004B06FF">
        <w:rPr>
          <w:lang w:val="en-GB"/>
        </w:rPr>
        <w:t>GPGs</w:t>
      </w:r>
      <w:r w:rsidR="00E31ADD">
        <w:rPr>
          <w:lang w:val="en-GB"/>
        </w:rPr>
        <w:t>)</w:t>
      </w:r>
      <w:r w:rsidR="00A83494" w:rsidRPr="004B06FF">
        <w:rPr>
          <w:lang w:val="en-GB"/>
        </w:rPr>
        <w:t xml:space="preserve"> to financial institutions and input suppliers; (iv) enabl</w:t>
      </w:r>
      <w:r w:rsidR="00E31ADD">
        <w:rPr>
          <w:lang w:val="en-GB"/>
        </w:rPr>
        <w:t>ing</w:t>
      </w:r>
      <w:r w:rsidR="00A83494" w:rsidRPr="004B06FF">
        <w:rPr>
          <w:lang w:val="en-GB"/>
        </w:rPr>
        <w:t xml:space="preserve"> the private sector to select the best option for creating a marketing channel for certified seeds</w:t>
      </w:r>
      <w:r w:rsidR="00E31ADD">
        <w:rPr>
          <w:lang w:val="en-GB"/>
        </w:rPr>
        <w:t>;</w:t>
      </w:r>
      <w:r w:rsidR="00A83494" w:rsidRPr="004B06FF">
        <w:rPr>
          <w:lang w:val="en-GB"/>
        </w:rPr>
        <w:t xml:space="preserve"> (v)</w:t>
      </w:r>
      <w:r w:rsidR="002C73A9">
        <w:rPr>
          <w:lang w:val="en-GB"/>
        </w:rPr>
        <w:t> </w:t>
      </w:r>
      <w:r w:rsidR="00A83494" w:rsidRPr="004B06FF">
        <w:rPr>
          <w:lang w:val="en-GB"/>
        </w:rPr>
        <w:t>empower</w:t>
      </w:r>
      <w:r w:rsidR="00E31ADD">
        <w:rPr>
          <w:lang w:val="en-GB"/>
        </w:rPr>
        <w:t>ing</w:t>
      </w:r>
      <w:r w:rsidR="00A83494" w:rsidRPr="004B06FF">
        <w:rPr>
          <w:lang w:val="en-GB"/>
        </w:rPr>
        <w:t xml:space="preserve"> existing SGGs and GPGs to plan their businesses</w:t>
      </w:r>
      <w:r w:rsidR="00A83494" w:rsidRPr="009C38B6">
        <w:rPr>
          <w:lang w:val="en-GB"/>
        </w:rPr>
        <w:t xml:space="preserve"> and access necessary inputs</w:t>
      </w:r>
      <w:r w:rsidR="00E31ADD">
        <w:rPr>
          <w:lang w:val="en-GB"/>
        </w:rPr>
        <w:t>; and</w:t>
      </w:r>
      <w:r w:rsidR="00A83494" w:rsidRPr="009C38B6">
        <w:rPr>
          <w:lang w:val="en-GB"/>
        </w:rPr>
        <w:t xml:space="preserve"> (vi) develop</w:t>
      </w:r>
      <w:r w:rsidR="00E31ADD">
        <w:rPr>
          <w:lang w:val="en-GB"/>
        </w:rPr>
        <w:t>ing</w:t>
      </w:r>
      <w:r w:rsidR="00A83494" w:rsidRPr="009C38B6">
        <w:rPr>
          <w:lang w:val="en-GB"/>
        </w:rPr>
        <w:t xml:space="preserve"> a seed </w:t>
      </w:r>
      <w:r w:rsidR="00F75B50">
        <w:rPr>
          <w:lang w:val="en-GB"/>
        </w:rPr>
        <w:t>marketing information database</w:t>
      </w:r>
      <w:r w:rsidR="00BD5F4F">
        <w:rPr>
          <w:lang w:val="en-GB"/>
        </w:rPr>
        <w:t>.</w:t>
      </w:r>
      <w:proofErr w:type="gramEnd"/>
    </w:p>
    <w:p w:rsidR="00737F28" w:rsidRPr="009C38B6" w:rsidRDefault="00737F28" w:rsidP="00BD5F4F">
      <w:pPr>
        <w:pStyle w:val="ListParagraph"/>
        <w:numPr>
          <w:ilvl w:val="0"/>
          <w:numId w:val="13"/>
        </w:numPr>
        <w:spacing w:after="120"/>
        <w:ind w:left="993" w:hanging="426"/>
        <w:contextualSpacing w:val="0"/>
        <w:rPr>
          <w:lang w:val="en-GB"/>
        </w:rPr>
      </w:pPr>
      <w:r w:rsidRPr="009C38B6">
        <w:rPr>
          <w:lang w:val="en-GB"/>
        </w:rPr>
        <w:t xml:space="preserve">Component 4 </w:t>
      </w:r>
      <w:r w:rsidRPr="009C38B6">
        <w:rPr>
          <w:i/>
          <w:iCs/>
          <w:lang w:val="en-GB"/>
        </w:rPr>
        <w:t>Project coordination and management</w:t>
      </w:r>
      <w:r w:rsidRPr="009C38B6">
        <w:rPr>
          <w:lang w:val="en-GB"/>
        </w:rPr>
        <w:t xml:space="preserve"> </w:t>
      </w:r>
      <w:r w:rsidR="00F75B50">
        <w:rPr>
          <w:lang w:val="en-GB"/>
        </w:rPr>
        <w:t xml:space="preserve">(estimated </w:t>
      </w:r>
      <w:r w:rsidR="0062382D">
        <w:rPr>
          <w:lang w:val="en-GB"/>
        </w:rPr>
        <w:t xml:space="preserve">at </w:t>
      </w:r>
      <w:r w:rsidRPr="009C38B6">
        <w:rPr>
          <w:lang w:val="en-GB"/>
        </w:rPr>
        <w:t xml:space="preserve">19 per cent </w:t>
      </w:r>
      <w:r w:rsidR="00F75B50">
        <w:rPr>
          <w:lang w:val="en-GB"/>
        </w:rPr>
        <w:t>of project total cost</w:t>
      </w:r>
      <w:r w:rsidRPr="009C38B6">
        <w:rPr>
          <w:lang w:val="en-GB"/>
        </w:rPr>
        <w:t>)</w:t>
      </w:r>
      <w:r w:rsidR="00BD5F4F">
        <w:rPr>
          <w:lang w:val="en-GB"/>
        </w:rPr>
        <w:t>.</w:t>
      </w:r>
      <w:r w:rsidRPr="009C38B6">
        <w:rPr>
          <w:lang w:val="en-GB"/>
        </w:rPr>
        <w:t xml:space="preserve"> </w:t>
      </w:r>
    </w:p>
    <w:p w:rsidR="00DE0D9B" w:rsidRPr="0067174C" w:rsidRDefault="009536D8" w:rsidP="00D10905">
      <w:pPr>
        <w:pStyle w:val="ListParagraph"/>
        <w:numPr>
          <w:ilvl w:val="0"/>
          <w:numId w:val="10"/>
        </w:numPr>
        <w:spacing w:after="120"/>
        <w:ind w:left="567" w:hanging="567"/>
        <w:contextualSpacing w:val="0"/>
        <w:rPr>
          <w:lang w:val="en-GB"/>
        </w:rPr>
      </w:pPr>
      <w:r w:rsidRPr="0067174C">
        <w:rPr>
          <w:b/>
          <w:bCs/>
        </w:rPr>
        <w:t>Target group.</w:t>
      </w:r>
      <w:r>
        <w:t xml:space="preserve"> </w:t>
      </w:r>
      <w:r w:rsidR="00343706">
        <w:t xml:space="preserve">The </w:t>
      </w:r>
      <w:r w:rsidR="0062382D">
        <w:t xml:space="preserve">project </w:t>
      </w:r>
      <w:r w:rsidR="00343706">
        <w:t>target</w:t>
      </w:r>
      <w:r w:rsidR="0062382D">
        <w:t>ed</w:t>
      </w:r>
      <w:r w:rsidR="00343706">
        <w:t xml:space="preserve"> </w:t>
      </w:r>
      <w:r w:rsidR="00343706" w:rsidRPr="0067174C">
        <w:rPr>
          <w:lang w:val="en-GB"/>
        </w:rPr>
        <w:t>smallholder producers, traders/ agro-dealers,</w:t>
      </w:r>
      <w:r w:rsidR="00737F28" w:rsidRPr="0067174C">
        <w:rPr>
          <w:rFonts w:cs="Verdana"/>
          <w:color w:val="000000"/>
          <w:sz w:val="24"/>
          <w:szCs w:val="24"/>
          <w:lang w:val="en-GB" w:eastAsia="en-GB"/>
        </w:rPr>
        <w:t xml:space="preserve"> </w:t>
      </w:r>
      <w:r w:rsidR="00737F28" w:rsidRPr="0067174C">
        <w:rPr>
          <w:lang w:val="en-GB"/>
        </w:rPr>
        <w:t xml:space="preserve">women and households headed by women or young people. </w:t>
      </w:r>
      <w:r w:rsidR="000C71F5">
        <w:rPr>
          <w:lang w:val="en-GB"/>
        </w:rPr>
        <w:t>T</w:t>
      </w:r>
      <w:r w:rsidR="0067174C" w:rsidRPr="0067174C">
        <w:rPr>
          <w:lang w:val="en-GB"/>
        </w:rPr>
        <w:t xml:space="preserve">he target </w:t>
      </w:r>
      <w:r w:rsidR="00D10905">
        <w:rPr>
          <w:lang w:val="en-GB"/>
        </w:rPr>
        <w:t xml:space="preserve">group </w:t>
      </w:r>
      <w:r w:rsidR="0067174C" w:rsidRPr="0067174C">
        <w:rPr>
          <w:lang w:val="en-GB"/>
        </w:rPr>
        <w:t xml:space="preserve">consisted </w:t>
      </w:r>
      <w:r w:rsidR="00B005DA">
        <w:rPr>
          <w:lang w:val="en-GB"/>
        </w:rPr>
        <w:t>of</w:t>
      </w:r>
      <w:r w:rsidR="0067174C" w:rsidRPr="0067174C">
        <w:rPr>
          <w:lang w:val="en-GB"/>
        </w:rPr>
        <w:t xml:space="preserve"> two categor</w:t>
      </w:r>
      <w:r w:rsidR="00B005DA">
        <w:rPr>
          <w:lang w:val="en-GB"/>
        </w:rPr>
        <w:t>ies</w:t>
      </w:r>
      <w:r w:rsidR="0067174C" w:rsidRPr="0067174C">
        <w:rPr>
          <w:lang w:val="en-GB"/>
        </w:rPr>
        <w:t>: (</w:t>
      </w:r>
      <w:proofErr w:type="spellStart"/>
      <w:r w:rsidR="0067174C" w:rsidRPr="0067174C">
        <w:rPr>
          <w:lang w:val="en-GB"/>
        </w:rPr>
        <w:t>i</w:t>
      </w:r>
      <w:proofErr w:type="spellEnd"/>
      <w:r w:rsidR="0067174C" w:rsidRPr="0067174C">
        <w:rPr>
          <w:lang w:val="en-GB"/>
        </w:rPr>
        <w:t xml:space="preserve">) </w:t>
      </w:r>
      <w:r w:rsidR="00AE7AB6">
        <w:rPr>
          <w:lang w:val="en-GB"/>
        </w:rPr>
        <w:t xml:space="preserve">grain </w:t>
      </w:r>
      <w:r w:rsidR="0067174C" w:rsidRPr="0067174C">
        <w:rPr>
          <w:lang w:val="en-GB"/>
        </w:rPr>
        <w:t>p</w:t>
      </w:r>
      <w:r w:rsidR="00DE0D9B" w:rsidRPr="0067174C">
        <w:rPr>
          <w:lang w:val="en-GB"/>
        </w:rPr>
        <w:t xml:space="preserve">roducers </w:t>
      </w:r>
      <w:r w:rsidR="00AE7AB6">
        <w:rPr>
          <w:lang w:val="en-GB"/>
        </w:rPr>
        <w:t>who would buy</w:t>
      </w:r>
      <w:r w:rsidR="0067174C" w:rsidRPr="0067174C">
        <w:rPr>
          <w:lang w:val="en-GB"/>
        </w:rPr>
        <w:t xml:space="preserve"> certified seeds</w:t>
      </w:r>
      <w:r w:rsidR="00AE7AB6">
        <w:rPr>
          <w:lang w:val="en-GB"/>
        </w:rPr>
        <w:t xml:space="preserve"> to produce grain for food</w:t>
      </w:r>
      <w:r w:rsidR="0067174C" w:rsidRPr="0067174C">
        <w:rPr>
          <w:lang w:val="en-GB"/>
        </w:rPr>
        <w:t>;</w:t>
      </w:r>
      <w:r w:rsidR="0008355B">
        <w:rPr>
          <w:lang w:val="en-GB"/>
        </w:rPr>
        <w:t xml:space="preserve"> and</w:t>
      </w:r>
      <w:r w:rsidR="0067174C" w:rsidRPr="0067174C">
        <w:rPr>
          <w:lang w:val="en-GB"/>
        </w:rPr>
        <w:t xml:space="preserve"> (ii)</w:t>
      </w:r>
      <w:r w:rsidR="00AE7AB6">
        <w:rPr>
          <w:lang w:val="en-GB"/>
        </w:rPr>
        <w:t xml:space="preserve"> seed g</w:t>
      </w:r>
      <w:r w:rsidR="00DE0D9B" w:rsidRPr="0067174C">
        <w:rPr>
          <w:lang w:val="en-GB"/>
        </w:rPr>
        <w:t xml:space="preserve">rowers, who </w:t>
      </w:r>
      <w:r w:rsidR="004C3F1A">
        <w:rPr>
          <w:lang w:val="en-GB"/>
        </w:rPr>
        <w:t>were</w:t>
      </w:r>
      <w:r w:rsidR="00DE0D9B" w:rsidRPr="0067174C">
        <w:rPr>
          <w:lang w:val="en-GB"/>
        </w:rPr>
        <w:t xml:space="preserve"> business minded young</w:t>
      </w:r>
      <w:r w:rsidR="0067174C" w:rsidRPr="0067174C">
        <w:rPr>
          <w:lang w:val="en-GB"/>
        </w:rPr>
        <w:t xml:space="preserve"> </w:t>
      </w:r>
      <w:r w:rsidR="00DE0D9B" w:rsidRPr="0067174C">
        <w:rPr>
          <w:lang w:val="en-GB"/>
        </w:rPr>
        <w:t>farmers interested in seed multiplication as an income generating activ</w:t>
      </w:r>
      <w:r w:rsidR="0067174C" w:rsidRPr="0067174C">
        <w:rPr>
          <w:lang w:val="en-GB"/>
        </w:rPr>
        <w:t xml:space="preserve">ity. Both groups of farmers were to be </w:t>
      </w:r>
      <w:r w:rsidR="00DE0D9B" w:rsidRPr="0067174C">
        <w:rPr>
          <w:lang w:val="en-GB"/>
        </w:rPr>
        <w:t xml:space="preserve">organised into formal groups </w:t>
      </w:r>
      <w:r w:rsidR="00CF4835">
        <w:rPr>
          <w:lang w:val="en-GB"/>
        </w:rPr>
        <w:t xml:space="preserve">(i.e. SGGs, GPGs) </w:t>
      </w:r>
      <w:r w:rsidR="00DE0D9B" w:rsidRPr="0067174C">
        <w:rPr>
          <w:lang w:val="en-GB"/>
        </w:rPr>
        <w:t>under the umbrella of</w:t>
      </w:r>
      <w:r w:rsidR="004C3F1A">
        <w:rPr>
          <w:lang w:val="en-GB"/>
        </w:rPr>
        <w:t xml:space="preserve"> the</w:t>
      </w:r>
      <w:r w:rsidR="00DE0D9B" w:rsidRPr="0067174C">
        <w:rPr>
          <w:lang w:val="en-GB"/>
        </w:rPr>
        <w:t xml:space="preserve"> </w:t>
      </w:r>
      <w:r w:rsidR="00CF4835">
        <w:rPr>
          <w:lang w:val="en-GB"/>
        </w:rPr>
        <w:t>c</w:t>
      </w:r>
      <w:r w:rsidR="00DE0D9B" w:rsidRPr="0067174C">
        <w:rPr>
          <w:lang w:val="en-GB"/>
        </w:rPr>
        <w:t xml:space="preserve">ommunity </w:t>
      </w:r>
      <w:r w:rsidR="00CF4835">
        <w:rPr>
          <w:lang w:val="en-GB"/>
        </w:rPr>
        <w:t>d</w:t>
      </w:r>
      <w:r w:rsidR="00DE0D9B" w:rsidRPr="0067174C">
        <w:rPr>
          <w:lang w:val="en-GB"/>
        </w:rPr>
        <w:t xml:space="preserve">evelopment </w:t>
      </w:r>
      <w:r w:rsidR="008E5991">
        <w:rPr>
          <w:lang w:val="en-GB"/>
        </w:rPr>
        <w:t>c</w:t>
      </w:r>
      <w:r w:rsidR="008E5991" w:rsidRPr="0067174C">
        <w:rPr>
          <w:lang w:val="en-GB"/>
        </w:rPr>
        <w:t xml:space="preserve">ommittees </w:t>
      </w:r>
      <w:r w:rsidR="00DE0D9B" w:rsidRPr="0067174C">
        <w:rPr>
          <w:lang w:val="en-GB"/>
        </w:rPr>
        <w:t>(CDCs)</w:t>
      </w:r>
      <w:r w:rsidR="00AE7AB6">
        <w:rPr>
          <w:lang w:val="en-GB"/>
        </w:rPr>
        <w:t xml:space="preserve">. </w:t>
      </w:r>
    </w:p>
    <w:p w:rsidR="004F4267" w:rsidRDefault="009536D8" w:rsidP="001B0CCC">
      <w:pPr>
        <w:pStyle w:val="ListParagraph"/>
        <w:numPr>
          <w:ilvl w:val="0"/>
          <w:numId w:val="10"/>
        </w:numPr>
        <w:spacing w:after="120"/>
        <w:ind w:left="567" w:hanging="567"/>
        <w:contextualSpacing w:val="0"/>
        <w:rPr>
          <w:lang w:val="en-GB"/>
        </w:rPr>
      </w:pPr>
      <w:r w:rsidRPr="00FC3113">
        <w:rPr>
          <w:b/>
          <w:bCs/>
        </w:rPr>
        <w:t>Financing.</w:t>
      </w:r>
      <w:r>
        <w:t xml:space="preserve"> </w:t>
      </w:r>
      <w:r w:rsidR="00F33F86">
        <w:t xml:space="preserve">The project cost </w:t>
      </w:r>
      <w:proofErr w:type="gramStart"/>
      <w:r w:rsidR="00F33F86">
        <w:t>was estimated</w:t>
      </w:r>
      <w:proofErr w:type="gramEnd"/>
      <w:r w:rsidR="00F33F86">
        <w:t xml:space="preserve"> </w:t>
      </w:r>
      <w:r w:rsidR="00F33F86" w:rsidRPr="00F33F86">
        <w:rPr>
          <w:lang w:val="en-GB"/>
        </w:rPr>
        <w:t xml:space="preserve">at </w:t>
      </w:r>
      <w:r w:rsidR="004C3F1A">
        <w:rPr>
          <w:lang w:val="en-GB"/>
        </w:rPr>
        <w:t>US$</w:t>
      </w:r>
      <w:r w:rsidR="00F33F86" w:rsidRPr="00F33F86">
        <w:rPr>
          <w:lang w:val="en-GB"/>
        </w:rPr>
        <w:t>17.46 million</w:t>
      </w:r>
      <w:r w:rsidR="004C3F1A">
        <w:rPr>
          <w:lang w:val="en-GB"/>
        </w:rPr>
        <w:t>, financed by IFAD through a D</w:t>
      </w:r>
      <w:r w:rsidR="00F83458">
        <w:rPr>
          <w:lang w:val="en-GB"/>
        </w:rPr>
        <w:t xml:space="preserve">ebt </w:t>
      </w:r>
      <w:r w:rsidR="004C3F1A">
        <w:rPr>
          <w:lang w:val="en-GB"/>
        </w:rPr>
        <w:t>S</w:t>
      </w:r>
      <w:r w:rsidR="00F83458">
        <w:rPr>
          <w:lang w:val="en-GB"/>
        </w:rPr>
        <w:t xml:space="preserve">ustainability </w:t>
      </w:r>
      <w:r w:rsidR="004C3F1A">
        <w:rPr>
          <w:lang w:val="en-GB"/>
        </w:rPr>
        <w:t>F</w:t>
      </w:r>
      <w:r w:rsidR="00F83458">
        <w:rPr>
          <w:lang w:val="en-GB"/>
        </w:rPr>
        <w:t>ramework</w:t>
      </w:r>
      <w:r w:rsidR="004C3F1A">
        <w:rPr>
          <w:lang w:val="en-GB"/>
        </w:rPr>
        <w:t xml:space="preserve"> grant of</w:t>
      </w:r>
      <w:r w:rsidR="00F33F86" w:rsidRPr="00F33F86">
        <w:rPr>
          <w:lang w:val="en-GB"/>
        </w:rPr>
        <w:t xml:space="preserve"> US$10.07 milli</w:t>
      </w:r>
      <w:r w:rsidR="004C3F1A">
        <w:rPr>
          <w:lang w:val="en-GB"/>
        </w:rPr>
        <w:t>on</w:t>
      </w:r>
      <w:r w:rsidR="00F33F86" w:rsidRPr="00F33F86">
        <w:rPr>
          <w:lang w:val="en-GB"/>
        </w:rPr>
        <w:t xml:space="preserve">. </w:t>
      </w:r>
      <w:r w:rsidR="0085676E">
        <w:rPr>
          <w:lang w:val="en-GB"/>
        </w:rPr>
        <w:t xml:space="preserve">The </w:t>
      </w:r>
      <w:r w:rsidR="004C3F1A">
        <w:rPr>
          <w:lang w:val="en-GB"/>
        </w:rPr>
        <w:t xml:space="preserve">planned contribution of the </w:t>
      </w:r>
      <w:r w:rsidR="0085676E">
        <w:rPr>
          <w:lang w:val="en-GB"/>
        </w:rPr>
        <w:t>Government</w:t>
      </w:r>
      <w:r w:rsidR="004C3F1A">
        <w:rPr>
          <w:lang w:val="en-GB"/>
        </w:rPr>
        <w:t xml:space="preserve"> amounted to</w:t>
      </w:r>
      <w:r w:rsidR="0085676E" w:rsidRPr="00F33F86">
        <w:rPr>
          <w:lang w:val="en-GB"/>
        </w:rPr>
        <w:t xml:space="preserve"> US$3.42 million</w:t>
      </w:r>
      <w:r w:rsidR="004C3F1A">
        <w:rPr>
          <w:lang w:val="en-GB"/>
        </w:rPr>
        <w:t>.</w:t>
      </w:r>
      <w:r w:rsidR="0085676E" w:rsidRPr="00F33F86">
        <w:rPr>
          <w:lang w:val="en-GB"/>
        </w:rPr>
        <w:t xml:space="preserve"> </w:t>
      </w:r>
      <w:r w:rsidR="00F33F86" w:rsidRPr="00F33F86">
        <w:rPr>
          <w:lang w:val="en-GB"/>
        </w:rPr>
        <w:t>The</w:t>
      </w:r>
      <w:r w:rsidR="004C3F1A">
        <w:rPr>
          <w:lang w:val="en-GB"/>
        </w:rPr>
        <w:t xml:space="preserve"> planned contribution of the</w:t>
      </w:r>
      <w:r w:rsidR="00F33F86" w:rsidRPr="00F33F86">
        <w:rPr>
          <w:lang w:val="en-GB"/>
        </w:rPr>
        <w:t xml:space="preserve"> seed growers and grain producers </w:t>
      </w:r>
      <w:r w:rsidR="004C3F1A">
        <w:rPr>
          <w:lang w:val="en-GB"/>
        </w:rPr>
        <w:t xml:space="preserve">amounted to </w:t>
      </w:r>
      <w:r w:rsidR="00F33F86" w:rsidRPr="00F33F86">
        <w:rPr>
          <w:lang w:val="en-GB"/>
        </w:rPr>
        <w:t xml:space="preserve">US$2.50 </w:t>
      </w:r>
      <w:r w:rsidR="00926768">
        <w:rPr>
          <w:lang w:val="en-GB"/>
        </w:rPr>
        <w:t xml:space="preserve">million </w:t>
      </w:r>
      <w:r w:rsidR="0085676E">
        <w:rPr>
          <w:lang w:val="en-GB"/>
        </w:rPr>
        <w:t>and the</w:t>
      </w:r>
      <w:r w:rsidR="004C3F1A">
        <w:rPr>
          <w:lang w:val="en-GB"/>
        </w:rPr>
        <w:t xml:space="preserve"> one of the</w:t>
      </w:r>
      <w:r w:rsidR="0085676E">
        <w:rPr>
          <w:lang w:val="en-GB"/>
        </w:rPr>
        <w:t xml:space="preserve"> private seed companies</w:t>
      </w:r>
      <w:r w:rsidR="00FB7B7F">
        <w:rPr>
          <w:lang w:val="en-GB"/>
        </w:rPr>
        <w:t xml:space="preserve"> (PSCs)</w:t>
      </w:r>
      <w:r w:rsidR="0085676E">
        <w:rPr>
          <w:lang w:val="en-GB"/>
        </w:rPr>
        <w:t xml:space="preserve"> </w:t>
      </w:r>
      <w:r w:rsidR="004C3F1A">
        <w:rPr>
          <w:lang w:val="en-GB"/>
        </w:rPr>
        <w:t>to</w:t>
      </w:r>
      <w:r w:rsidR="0085676E">
        <w:rPr>
          <w:lang w:val="en-GB"/>
        </w:rPr>
        <w:t xml:space="preserve"> </w:t>
      </w:r>
      <w:r w:rsidR="00F33F86" w:rsidRPr="00F33F86">
        <w:rPr>
          <w:lang w:val="en-GB"/>
        </w:rPr>
        <w:t>US$1.48 million (8.5 per cent)</w:t>
      </w:r>
      <w:r w:rsidR="00F33F86">
        <w:rPr>
          <w:lang w:val="en-GB"/>
        </w:rPr>
        <w:t xml:space="preserve">. </w:t>
      </w:r>
      <w:r w:rsidR="0008355B" w:rsidRPr="0008355B">
        <w:rPr>
          <w:rFonts w:cstheme="minorBidi"/>
        </w:rPr>
        <w:t xml:space="preserve">According to the </w:t>
      </w:r>
      <w:r w:rsidR="00F83458">
        <w:rPr>
          <w:rFonts w:cstheme="minorBidi"/>
        </w:rPr>
        <w:t>Project Completion Report (</w:t>
      </w:r>
      <w:r w:rsidR="0008355B" w:rsidRPr="0008355B">
        <w:rPr>
          <w:rFonts w:cstheme="minorBidi"/>
        </w:rPr>
        <w:t>PCR</w:t>
      </w:r>
      <w:r w:rsidR="00F83458">
        <w:rPr>
          <w:rFonts w:cstheme="minorBidi"/>
        </w:rPr>
        <w:t>)</w:t>
      </w:r>
      <w:r w:rsidR="0008355B" w:rsidRPr="0008355B">
        <w:rPr>
          <w:rFonts w:cstheme="minorBidi"/>
        </w:rPr>
        <w:t xml:space="preserve">, beneficiaries' contribution was largely in-kind and </w:t>
      </w:r>
      <w:proofErr w:type="gramStart"/>
      <w:r w:rsidR="0008355B" w:rsidRPr="0008355B">
        <w:rPr>
          <w:rFonts w:cstheme="minorBidi"/>
        </w:rPr>
        <w:t>was not quantified</w:t>
      </w:r>
      <w:proofErr w:type="gramEnd"/>
      <w:r w:rsidR="0008355B">
        <w:rPr>
          <w:rFonts w:cstheme="minorBidi"/>
        </w:rPr>
        <w:t xml:space="preserve">. </w:t>
      </w:r>
      <w:r w:rsidR="00FB2AB7">
        <w:rPr>
          <w:rFonts w:cstheme="minorBidi"/>
        </w:rPr>
        <w:t>The Government actual contribution was also reportedly substantially underestimated.</w:t>
      </w:r>
      <w:r w:rsidR="00FB2AB7">
        <w:rPr>
          <w:rStyle w:val="FootnoteReference"/>
          <w:rFonts w:cstheme="minorBidi"/>
        </w:rPr>
        <w:footnoteReference w:id="6"/>
      </w:r>
      <w:r w:rsidR="00FB2AB7">
        <w:rPr>
          <w:rFonts w:cstheme="minorBidi"/>
        </w:rPr>
        <w:t xml:space="preserve"> </w:t>
      </w:r>
      <w:r w:rsidR="0008355B">
        <w:rPr>
          <w:rFonts w:cstheme="minorBidi"/>
        </w:rPr>
        <w:t>Furthermore, “</w:t>
      </w:r>
      <w:r w:rsidR="0008355B" w:rsidRPr="0008355B">
        <w:rPr>
          <w:rFonts w:cstheme="minorBidi"/>
        </w:rPr>
        <w:t>private companies' contribution foreseen at project design was abandoned as these companies provided direct support (input and extension services) to the seed growers and demonstrations plots</w:t>
      </w:r>
      <w:r w:rsidR="0008355B">
        <w:rPr>
          <w:rFonts w:cstheme="minorBidi"/>
        </w:rPr>
        <w:t>.”</w:t>
      </w:r>
      <w:r w:rsidR="0008355B">
        <w:rPr>
          <w:rStyle w:val="FootnoteReference"/>
          <w:rFonts w:cstheme="minorBidi"/>
        </w:rPr>
        <w:footnoteReference w:id="7"/>
      </w:r>
      <w:r w:rsidR="0008355B">
        <w:rPr>
          <w:lang w:val="en-GB"/>
        </w:rPr>
        <w:t xml:space="preserve"> </w:t>
      </w:r>
      <w:r w:rsidR="001B0CCC">
        <w:rPr>
          <w:lang w:val="en-GB"/>
        </w:rPr>
        <w:t>The table below show</w:t>
      </w:r>
      <w:r w:rsidR="00F83458">
        <w:rPr>
          <w:lang w:val="en-GB"/>
        </w:rPr>
        <w:t>s</w:t>
      </w:r>
      <w:r w:rsidR="001B0CCC">
        <w:rPr>
          <w:lang w:val="en-GB"/>
        </w:rPr>
        <w:t xml:space="preserve"> the planned and actual project costs by financier and by component.</w:t>
      </w:r>
    </w:p>
    <w:p w:rsidR="009536D8" w:rsidRPr="009536D8" w:rsidRDefault="009536D8" w:rsidP="00F82074">
      <w:pPr>
        <w:pStyle w:val="ListParagraph"/>
        <w:ind w:left="567"/>
        <w:contextualSpacing w:val="0"/>
        <w:jc w:val="both"/>
        <w:rPr>
          <w:rFonts w:asciiTheme="minorBidi" w:hAnsiTheme="minorBidi" w:cstheme="minorBidi"/>
          <w:sz w:val="18"/>
          <w:szCs w:val="18"/>
        </w:rPr>
      </w:pPr>
      <w:r w:rsidRPr="009536D8">
        <w:rPr>
          <w:rFonts w:asciiTheme="minorBidi" w:hAnsiTheme="minorBidi" w:cstheme="minorBidi"/>
          <w:sz w:val="18"/>
          <w:szCs w:val="18"/>
        </w:rPr>
        <w:t>Table 1</w:t>
      </w:r>
    </w:p>
    <w:p w:rsidR="009536D8" w:rsidRPr="009536D8" w:rsidRDefault="009536D8" w:rsidP="00B524F4">
      <w:pPr>
        <w:pStyle w:val="ListParagraph"/>
        <w:spacing w:after="40"/>
        <w:ind w:left="567"/>
        <w:contextualSpacing w:val="0"/>
        <w:jc w:val="both"/>
        <w:rPr>
          <w:rFonts w:asciiTheme="minorBidi" w:hAnsiTheme="minorBidi" w:cstheme="minorBidi"/>
          <w:b/>
          <w:bCs/>
          <w:sz w:val="18"/>
          <w:szCs w:val="18"/>
        </w:rPr>
      </w:pPr>
      <w:r>
        <w:rPr>
          <w:rFonts w:asciiTheme="minorBidi" w:hAnsiTheme="minorBidi" w:cstheme="minorBidi"/>
          <w:b/>
          <w:bCs/>
          <w:sz w:val="18"/>
          <w:szCs w:val="18"/>
        </w:rPr>
        <w:t>Project cost</w:t>
      </w:r>
      <w:r w:rsidR="00B524F4">
        <w:rPr>
          <w:rFonts w:asciiTheme="minorBidi" w:hAnsiTheme="minorBidi" w:cstheme="minorBidi"/>
          <w:b/>
          <w:bCs/>
          <w:sz w:val="18"/>
          <w:szCs w:val="18"/>
        </w:rPr>
        <w:t xml:space="preserve"> by financier (US$ million)</w:t>
      </w:r>
    </w:p>
    <w:tbl>
      <w:tblPr>
        <w:tblStyle w:val="IOETable1"/>
        <w:tblW w:w="8505" w:type="dxa"/>
        <w:tblLook w:val="04A0" w:firstRow="1" w:lastRow="0" w:firstColumn="1" w:lastColumn="0" w:noHBand="0" w:noVBand="1"/>
      </w:tblPr>
      <w:tblGrid>
        <w:gridCol w:w="2652"/>
        <w:gridCol w:w="1884"/>
        <w:gridCol w:w="1843"/>
        <w:gridCol w:w="2126"/>
      </w:tblGrid>
      <w:tr w:rsidR="001B53D7" w:rsidRPr="00F83458" w:rsidTr="00D10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dxa"/>
            <w:vAlign w:val="center"/>
          </w:tcPr>
          <w:p w:rsidR="001B53D7" w:rsidRPr="00F83458" w:rsidRDefault="001B53D7" w:rsidP="00D10905">
            <w:pPr>
              <w:spacing w:before="60" w:after="60"/>
              <w:rPr>
                <w:rFonts w:asciiTheme="minorBidi" w:hAnsiTheme="minorBidi" w:cstheme="minorBidi"/>
                <w:lang w:eastAsia="en-GB"/>
              </w:rPr>
            </w:pPr>
            <w:r w:rsidRPr="00F83458">
              <w:rPr>
                <w:rFonts w:asciiTheme="minorBidi" w:hAnsiTheme="minorBidi" w:cstheme="minorBidi"/>
                <w:lang w:eastAsia="en-GB"/>
              </w:rPr>
              <w:t>Funding Sources</w:t>
            </w:r>
          </w:p>
        </w:tc>
        <w:tc>
          <w:tcPr>
            <w:tcW w:w="1884" w:type="dxa"/>
            <w:vAlign w:val="center"/>
          </w:tcPr>
          <w:p w:rsidR="001B53D7" w:rsidRPr="00F83458" w:rsidRDefault="001B53D7" w:rsidP="00D10905">
            <w:pPr>
              <w:spacing w:before="60" w:after="6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Planned expenditure at appraisal</w:t>
            </w:r>
          </w:p>
        </w:tc>
        <w:tc>
          <w:tcPr>
            <w:tcW w:w="1843" w:type="dxa"/>
            <w:vAlign w:val="center"/>
          </w:tcPr>
          <w:p w:rsidR="001B53D7" w:rsidRPr="00F83458" w:rsidRDefault="001B53D7" w:rsidP="00D10905">
            <w:pPr>
              <w:spacing w:before="60" w:after="6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Actual expenditure</w:t>
            </w:r>
          </w:p>
        </w:tc>
        <w:tc>
          <w:tcPr>
            <w:tcW w:w="2126" w:type="dxa"/>
            <w:vAlign w:val="center"/>
          </w:tcPr>
          <w:p w:rsidR="001B53D7" w:rsidRPr="00F83458" w:rsidRDefault="001B53D7" w:rsidP="00D10905">
            <w:pPr>
              <w:spacing w:before="60" w:after="6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 disbursed</w:t>
            </w:r>
          </w:p>
        </w:tc>
      </w:tr>
      <w:tr w:rsidR="001B53D7" w:rsidRPr="00F83458" w:rsidTr="00D10905">
        <w:tc>
          <w:tcPr>
            <w:cnfStyle w:val="001000000000" w:firstRow="0" w:lastRow="0" w:firstColumn="1" w:lastColumn="0" w:oddVBand="0" w:evenVBand="0" w:oddHBand="0" w:evenHBand="0" w:firstRowFirstColumn="0" w:firstRowLastColumn="0" w:lastRowFirstColumn="0" w:lastRowLastColumn="0"/>
            <w:tcW w:w="2652" w:type="dxa"/>
            <w:vAlign w:val="center"/>
          </w:tcPr>
          <w:p w:rsidR="001B53D7" w:rsidRPr="00F83458" w:rsidRDefault="001B53D7" w:rsidP="00B24A16">
            <w:pPr>
              <w:spacing w:before="40"/>
              <w:rPr>
                <w:rFonts w:asciiTheme="minorBidi" w:hAnsiTheme="minorBidi" w:cstheme="minorBidi"/>
                <w:lang w:eastAsia="en-GB"/>
              </w:rPr>
            </w:pPr>
            <w:r w:rsidRPr="00F83458">
              <w:rPr>
                <w:rFonts w:asciiTheme="minorBidi" w:hAnsiTheme="minorBidi" w:cstheme="minorBidi"/>
                <w:lang w:eastAsia="en-GB"/>
              </w:rPr>
              <w:t>IFAD (grant)</w:t>
            </w:r>
          </w:p>
        </w:tc>
        <w:tc>
          <w:tcPr>
            <w:tcW w:w="1884" w:type="dxa"/>
            <w:vAlign w:val="center"/>
          </w:tcPr>
          <w:p w:rsidR="001B53D7" w:rsidRPr="00F83458" w:rsidRDefault="001B53D7"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10.07</w:t>
            </w:r>
          </w:p>
        </w:tc>
        <w:tc>
          <w:tcPr>
            <w:tcW w:w="1843" w:type="dxa"/>
            <w:vAlign w:val="center"/>
          </w:tcPr>
          <w:p w:rsidR="003470AE" w:rsidRPr="00F83458" w:rsidRDefault="00D2094E"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8.57</w:t>
            </w:r>
            <w:r w:rsidR="003470AE" w:rsidRPr="00F83458">
              <w:rPr>
                <w:rFonts w:asciiTheme="minorBidi" w:hAnsiTheme="minorBidi" w:cstheme="minorBidi"/>
                <w:vertAlign w:val="superscript"/>
                <w:lang w:eastAsia="en-GB"/>
              </w:rPr>
              <w:t>a</w:t>
            </w:r>
          </w:p>
          <w:p w:rsidR="001B53D7" w:rsidRPr="00F83458" w:rsidRDefault="003470AE"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w:t>
            </w:r>
            <w:r w:rsidR="001B53D7" w:rsidRPr="00F83458">
              <w:rPr>
                <w:rFonts w:asciiTheme="minorBidi" w:hAnsiTheme="minorBidi" w:cstheme="minorBidi"/>
                <w:lang w:eastAsia="en-GB"/>
              </w:rPr>
              <w:t>9.12</w:t>
            </w:r>
            <w:r w:rsidRPr="00F83458">
              <w:rPr>
                <w:rFonts w:asciiTheme="minorBidi" w:hAnsiTheme="minorBidi" w:cstheme="minorBidi"/>
                <w:vertAlign w:val="superscript"/>
                <w:lang w:eastAsia="en-GB"/>
              </w:rPr>
              <w:t>b</w:t>
            </w:r>
            <w:r w:rsidRPr="00F83458">
              <w:rPr>
                <w:rFonts w:asciiTheme="minorBidi" w:hAnsiTheme="minorBidi" w:cstheme="minorBidi"/>
                <w:lang w:eastAsia="en-GB"/>
              </w:rPr>
              <w:t>)</w:t>
            </w:r>
          </w:p>
        </w:tc>
        <w:tc>
          <w:tcPr>
            <w:tcW w:w="2126" w:type="dxa"/>
            <w:vAlign w:val="center"/>
          </w:tcPr>
          <w:p w:rsidR="001B53D7" w:rsidRPr="00F83458" w:rsidRDefault="008E1D58"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 xml:space="preserve"> 100% in</w:t>
            </w:r>
            <w:r w:rsidR="0008355B" w:rsidRPr="00F83458">
              <w:rPr>
                <w:rFonts w:asciiTheme="minorBidi" w:hAnsiTheme="minorBidi" w:cstheme="minorBidi"/>
                <w:lang w:eastAsia="en-GB"/>
              </w:rPr>
              <w:t xml:space="preserve"> </w:t>
            </w:r>
            <w:proofErr w:type="spellStart"/>
            <w:r w:rsidR="0008355B" w:rsidRPr="00F83458">
              <w:rPr>
                <w:rFonts w:asciiTheme="minorBidi" w:hAnsiTheme="minorBidi" w:cstheme="minorBidi"/>
                <w:lang w:eastAsia="en-GB"/>
              </w:rPr>
              <w:t>SDR</w:t>
            </w:r>
            <w:r w:rsidR="003470AE" w:rsidRPr="00F83458">
              <w:rPr>
                <w:rFonts w:asciiTheme="minorBidi" w:hAnsiTheme="minorBidi" w:cstheme="minorBidi"/>
                <w:vertAlign w:val="superscript"/>
                <w:lang w:eastAsia="en-GB"/>
              </w:rPr>
              <w:t>d</w:t>
            </w:r>
            <w:proofErr w:type="spellEnd"/>
          </w:p>
        </w:tc>
      </w:tr>
      <w:tr w:rsidR="001B53D7" w:rsidRPr="00F83458" w:rsidTr="00D10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dxa"/>
            <w:vAlign w:val="center"/>
          </w:tcPr>
          <w:p w:rsidR="001B53D7" w:rsidRPr="00F83458" w:rsidRDefault="001B53D7" w:rsidP="00B24A16">
            <w:pPr>
              <w:spacing w:before="40"/>
              <w:rPr>
                <w:rFonts w:asciiTheme="minorBidi" w:hAnsiTheme="minorBidi" w:cstheme="minorBidi"/>
                <w:lang w:eastAsia="en-GB"/>
              </w:rPr>
            </w:pPr>
            <w:r w:rsidRPr="00F83458">
              <w:rPr>
                <w:rFonts w:asciiTheme="minorBidi" w:hAnsiTheme="minorBidi" w:cstheme="minorBidi"/>
                <w:lang w:eastAsia="en-GB"/>
              </w:rPr>
              <w:t>Government</w:t>
            </w:r>
          </w:p>
        </w:tc>
        <w:tc>
          <w:tcPr>
            <w:tcW w:w="1884" w:type="dxa"/>
            <w:vAlign w:val="center"/>
          </w:tcPr>
          <w:p w:rsidR="001B53D7" w:rsidRPr="00F83458" w:rsidRDefault="001B53D7" w:rsidP="00B24A16">
            <w:pPr>
              <w:spacing w:before="4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3.42</w:t>
            </w:r>
          </w:p>
        </w:tc>
        <w:tc>
          <w:tcPr>
            <w:tcW w:w="1843" w:type="dxa"/>
            <w:vAlign w:val="center"/>
          </w:tcPr>
          <w:p w:rsidR="003470AE" w:rsidRPr="00F83458" w:rsidRDefault="003470AE" w:rsidP="00B24A16">
            <w:pPr>
              <w:spacing w:before="4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0.5</w:t>
            </w:r>
            <w:r w:rsidRPr="00F83458">
              <w:rPr>
                <w:rFonts w:asciiTheme="minorBidi" w:hAnsiTheme="minorBidi" w:cstheme="minorBidi"/>
                <w:vertAlign w:val="superscript"/>
                <w:lang w:eastAsia="en-GB"/>
              </w:rPr>
              <w:t>a</w:t>
            </w:r>
          </w:p>
          <w:p w:rsidR="001B53D7" w:rsidRPr="00F83458" w:rsidRDefault="003470AE" w:rsidP="00B24A16">
            <w:pPr>
              <w:spacing w:before="4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w:t>
            </w:r>
            <w:r w:rsidR="001B53D7" w:rsidRPr="00F83458">
              <w:rPr>
                <w:rFonts w:asciiTheme="minorBidi" w:hAnsiTheme="minorBidi" w:cstheme="minorBidi"/>
                <w:lang w:eastAsia="en-GB"/>
              </w:rPr>
              <w:t>0.98</w:t>
            </w:r>
            <w:r w:rsidRPr="00F83458">
              <w:rPr>
                <w:rFonts w:asciiTheme="minorBidi" w:hAnsiTheme="minorBidi" w:cstheme="minorBidi"/>
                <w:vertAlign w:val="superscript"/>
                <w:lang w:eastAsia="en-GB"/>
              </w:rPr>
              <w:t>c</w:t>
            </w:r>
            <w:r w:rsidRPr="00F83458">
              <w:rPr>
                <w:rFonts w:asciiTheme="minorBidi" w:hAnsiTheme="minorBidi" w:cstheme="minorBidi"/>
                <w:lang w:eastAsia="en-GB"/>
              </w:rPr>
              <w:t>)</w:t>
            </w:r>
          </w:p>
        </w:tc>
        <w:tc>
          <w:tcPr>
            <w:tcW w:w="2126" w:type="dxa"/>
            <w:vAlign w:val="center"/>
          </w:tcPr>
          <w:p w:rsidR="001B53D7" w:rsidRPr="00F83458" w:rsidRDefault="001B53D7" w:rsidP="00B24A16">
            <w:pPr>
              <w:spacing w:before="4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28.6</w:t>
            </w:r>
          </w:p>
        </w:tc>
      </w:tr>
      <w:tr w:rsidR="001B53D7" w:rsidRPr="00F83458" w:rsidTr="00D10905">
        <w:tc>
          <w:tcPr>
            <w:cnfStyle w:val="001000000000" w:firstRow="0" w:lastRow="0" w:firstColumn="1" w:lastColumn="0" w:oddVBand="0" w:evenVBand="0" w:oddHBand="0" w:evenHBand="0" w:firstRowFirstColumn="0" w:firstRowLastColumn="0" w:lastRowFirstColumn="0" w:lastRowLastColumn="0"/>
            <w:tcW w:w="2652" w:type="dxa"/>
            <w:vAlign w:val="center"/>
          </w:tcPr>
          <w:p w:rsidR="001B53D7" w:rsidRPr="00F83458" w:rsidRDefault="001B53D7" w:rsidP="00B24A16">
            <w:pPr>
              <w:spacing w:before="40"/>
              <w:rPr>
                <w:rFonts w:asciiTheme="minorBidi" w:hAnsiTheme="minorBidi" w:cstheme="minorBidi"/>
                <w:lang w:eastAsia="en-GB"/>
              </w:rPr>
            </w:pPr>
            <w:r w:rsidRPr="00F83458">
              <w:rPr>
                <w:rFonts w:asciiTheme="minorBidi" w:hAnsiTheme="minorBidi" w:cstheme="minorBidi"/>
                <w:lang w:eastAsia="en-GB"/>
              </w:rPr>
              <w:t>Seed grower and grain producers</w:t>
            </w:r>
          </w:p>
        </w:tc>
        <w:tc>
          <w:tcPr>
            <w:tcW w:w="1884" w:type="dxa"/>
            <w:vAlign w:val="center"/>
          </w:tcPr>
          <w:p w:rsidR="001B53D7" w:rsidRPr="00F83458" w:rsidRDefault="001B53D7"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2.50</w:t>
            </w:r>
          </w:p>
        </w:tc>
        <w:tc>
          <w:tcPr>
            <w:tcW w:w="1843" w:type="dxa"/>
            <w:vAlign w:val="center"/>
          </w:tcPr>
          <w:p w:rsidR="001B53D7" w:rsidRPr="00F83458" w:rsidRDefault="001B53D7"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w:t>
            </w:r>
          </w:p>
        </w:tc>
        <w:tc>
          <w:tcPr>
            <w:tcW w:w="2126" w:type="dxa"/>
            <w:vAlign w:val="center"/>
          </w:tcPr>
          <w:p w:rsidR="001B53D7" w:rsidRPr="00F83458" w:rsidRDefault="00D014E1"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w:t>
            </w:r>
          </w:p>
        </w:tc>
      </w:tr>
      <w:tr w:rsidR="001B53D7" w:rsidRPr="00F83458" w:rsidTr="00D10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dxa"/>
            <w:vAlign w:val="center"/>
          </w:tcPr>
          <w:p w:rsidR="001B53D7" w:rsidRPr="00F83458" w:rsidRDefault="001B53D7" w:rsidP="00B24A16">
            <w:pPr>
              <w:spacing w:before="40"/>
              <w:rPr>
                <w:rFonts w:asciiTheme="minorBidi" w:hAnsiTheme="minorBidi" w:cstheme="minorBidi"/>
                <w:lang w:val="en-GB" w:eastAsia="en-GB"/>
              </w:rPr>
            </w:pPr>
            <w:r w:rsidRPr="00F83458">
              <w:rPr>
                <w:rFonts w:asciiTheme="minorBidi" w:hAnsiTheme="minorBidi" w:cstheme="minorBidi"/>
                <w:lang w:val="en-GB" w:eastAsia="en-GB"/>
              </w:rPr>
              <w:t>Private s</w:t>
            </w:r>
            <w:r w:rsidR="00FB7B7F" w:rsidRPr="00F83458">
              <w:rPr>
                <w:rFonts w:asciiTheme="minorBidi" w:hAnsiTheme="minorBidi" w:cstheme="minorBidi"/>
                <w:lang w:val="en-GB" w:eastAsia="en-GB"/>
              </w:rPr>
              <w:t>eed</w:t>
            </w:r>
            <w:r w:rsidRPr="00F83458">
              <w:rPr>
                <w:rFonts w:asciiTheme="minorBidi" w:hAnsiTheme="minorBidi" w:cstheme="minorBidi"/>
                <w:lang w:val="en-GB" w:eastAsia="en-GB"/>
              </w:rPr>
              <w:t xml:space="preserve"> compan</w:t>
            </w:r>
            <w:r w:rsidR="00FB7B7F" w:rsidRPr="00F83458">
              <w:rPr>
                <w:rFonts w:asciiTheme="minorBidi" w:hAnsiTheme="minorBidi" w:cstheme="minorBidi"/>
                <w:lang w:val="en-GB" w:eastAsia="en-GB"/>
              </w:rPr>
              <w:t xml:space="preserve">ies </w:t>
            </w:r>
          </w:p>
        </w:tc>
        <w:tc>
          <w:tcPr>
            <w:tcW w:w="1884" w:type="dxa"/>
            <w:vAlign w:val="center"/>
          </w:tcPr>
          <w:p w:rsidR="001B53D7" w:rsidRPr="00F83458" w:rsidRDefault="001B53D7" w:rsidP="00B24A16">
            <w:pPr>
              <w:spacing w:before="4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1.48</w:t>
            </w:r>
          </w:p>
        </w:tc>
        <w:tc>
          <w:tcPr>
            <w:tcW w:w="1843" w:type="dxa"/>
            <w:vAlign w:val="center"/>
          </w:tcPr>
          <w:p w:rsidR="001B53D7" w:rsidRPr="00F83458" w:rsidRDefault="001B53D7" w:rsidP="00B24A16">
            <w:pPr>
              <w:spacing w:before="4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w:t>
            </w:r>
          </w:p>
        </w:tc>
        <w:tc>
          <w:tcPr>
            <w:tcW w:w="2126" w:type="dxa"/>
            <w:vAlign w:val="center"/>
          </w:tcPr>
          <w:p w:rsidR="001B53D7" w:rsidRPr="00F83458" w:rsidRDefault="00D014E1" w:rsidP="00B24A16">
            <w:pPr>
              <w:spacing w:before="4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lang w:eastAsia="en-GB"/>
              </w:rPr>
            </w:pPr>
            <w:r w:rsidRPr="00F83458">
              <w:rPr>
                <w:rFonts w:asciiTheme="minorBidi" w:hAnsiTheme="minorBidi" w:cstheme="minorBidi"/>
                <w:lang w:eastAsia="en-GB"/>
              </w:rPr>
              <w:t>-</w:t>
            </w:r>
          </w:p>
        </w:tc>
      </w:tr>
      <w:tr w:rsidR="001B53D7" w:rsidRPr="00F83458" w:rsidTr="00B24A16">
        <w:trPr>
          <w:trHeight w:val="450"/>
        </w:trPr>
        <w:tc>
          <w:tcPr>
            <w:cnfStyle w:val="001000000000" w:firstRow="0" w:lastRow="0" w:firstColumn="1" w:lastColumn="0" w:oddVBand="0" w:evenVBand="0" w:oddHBand="0" w:evenHBand="0" w:firstRowFirstColumn="0" w:firstRowLastColumn="0" w:lastRowFirstColumn="0" w:lastRowLastColumn="0"/>
            <w:tcW w:w="2652" w:type="dxa"/>
            <w:vAlign w:val="center"/>
          </w:tcPr>
          <w:p w:rsidR="001B53D7" w:rsidRPr="00F83458" w:rsidRDefault="001B53D7" w:rsidP="00B24A16">
            <w:pPr>
              <w:spacing w:before="40"/>
              <w:rPr>
                <w:rFonts w:asciiTheme="minorBidi" w:hAnsiTheme="minorBidi" w:cstheme="minorBidi"/>
                <w:b/>
                <w:bCs/>
                <w:lang w:eastAsia="en-GB"/>
              </w:rPr>
            </w:pPr>
            <w:r w:rsidRPr="00F83458">
              <w:rPr>
                <w:rFonts w:asciiTheme="minorBidi" w:hAnsiTheme="minorBidi" w:cstheme="minorBidi"/>
                <w:b/>
                <w:bCs/>
                <w:lang w:eastAsia="en-GB"/>
              </w:rPr>
              <w:t>Total</w:t>
            </w:r>
          </w:p>
        </w:tc>
        <w:tc>
          <w:tcPr>
            <w:tcW w:w="1884" w:type="dxa"/>
            <w:vAlign w:val="center"/>
          </w:tcPr>
          <w:p w:rsidR="001B53D7" w:rsidRPr="00F83458" w:rsidRDefault="001B53D7"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lang w:eastAsia="en-GB"/>
              </w:rPr>
            </w:pPr>
            <w:r w:rsidRPr="00F83458">
              <w:rPr>
                <w:rFonts w:asciiTheme="minorBidi" w:hAnsiTheme="minorBidi" w:cstheme="minorBidi"/>
                <w:b/>
                <w:bCs/>
                <w:lang w:eastAsia="en-GB"/>
              </w:rPr>
              <w:t>17.</w:t>
            </w:r>
            <w:r w:rsidR="00CC265D" w:rsidRPr="00F83458">
              <w:rPr>
                <w:rFonts w:asciiTheme="minorBidi" w:hAnsiTheme="minorBidi" w:cstheme="minorBidi"/>
                <w:b/>
                <w:bCs/>
                <w:lang w:eastAsia="en-GB"/>
              </w:rPr>
              <w:t>47</w:t>
            </w:r>
          </w:p>
        </w:tc>
        <w:tc>
          <w:tcPr>
            <w:tcW w:w="1843" w:type="dxa"/>
            <w:vAlign w:val="center"/>
          </w:tcPr>
          <w:p w:rsidR="003470AE" w:rsidRPr="00F83458" w:rsidRDefault="00D2094E"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lang w:eastAsia="en-GB"/>
              </w:rPr>
            </w:pPr>
            <w:r w:rsidRPr="00F83458">
              <w:rPr>
                <w:rFonts w:asciiTheme="minorBidi" w:hAnsiTheme="minorBidi" w:cstheme="minorBidi"/>
                <w:b/>
                <w:bCs/>
                <w:lang w:eastAsia="en-GB"/>
              </w:rPr>
              <w:t>9.07</w:t>
            </w:r>
          </w:p>
          <w:p w:rsidR="001B53D7" w:rsidRPr="00F83458" w:rsidRDefault="003470AE"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lang w:eastAsia="en-GB"/>
              </w:rPr>
            </w:pPr>
            <w:r w:rsidRPr="00F83458">
              <w:rPr>
                <w:rFonts w:asciiTheme="minorBidi" w:hAnsiTheme="minorBidi" w:cstheme="minorBidi"/>
                <w:b/>
                <w:bCs/>
                <w:lang w:eastAsia="en-GB"/>
              </w:rPr>
              <w:t>(</w:t>
            </w:r>
            <w:r w:rsidR="001B53D7" w:rsidRPr="00F83458">
              <w:rPr>
                <w:rFonts w:asciiTheme="minorBidi" w:hAnsiTheme="minorBidi" w:cstheme="minorBidi"/>
                <w:b/>
                <w:bCs/>
                <w:lang w:eastAsia="en-GB"/>
              </w:rPr>
              <w:t>10</w:t>
            </w:r>
            <w:r w:rsidRPr="00F83458">
              <w:rPr>
                <w:rFonts w:asciiTheme="minorBidi" w:hAnsiTheme="minorBidi" w:cstheme="minorBidi"/>
                <w:b/>
                <w:bCs/>
                <w:lang w:eastAsia="en-GB"/>
              </w:rPr>
              <w:t>)</w:t>
            </w:r>
          </w:p>
        </w:tc>
        <w:tc>
          <w:tcPr>
            <w:tcW w:w="2126" w:type="dxa"/>
            <w:vAlign w:val="center"/>
          </w:tcPr>
          <w:p w:rsidR="001B53D7" w:rsidRPr="00F83458" w:rsidRDefault="001B53D7" w:rsidP="00B24A16">
            <w:pPr>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lang w:eastAsia="en-GB"/>
              </w:rPr>
            </w:pPr>
          </w:p>
        </w:tc>
      </w:tr>
    </w:tbl>
    <w:p w:rsidR="009536D8" w:rsidRDefault="009536D8" w:rsidP="00D2094E">
      <w:pPr>
        <w:pStyle w:val="ListParagraph"/>
        <w:ind w:left="567"/>
        <w:contextualSpacing w:val="0"/>
        <w:jc w:val="both"/>
        <w:rPr>
          <w:rFonts w:asciiTheme="minorBidi" w:hAnsiTheme="minorBidi" w:cstheme="minorBidi"/>
          <w:sz w:val="16"/>
          <w:szCs w:val="16"/>
        </w:rPr>
      </w:pPr>
      <w:r w:rsidRPr="009536D8">
        <w:rPr>
          <w:rFonts w:asciiTheme="minorBidi" w:hAnsiTheme="minorBidi" w:cstheme="minorBidi"/>
          <w:sz w:val="16"/>
          <w:szCs w:val="16"/>
        </w:rPr>
        <w:t>Source:</w:t>
      </w:r>
      <w:r w:rsidR="001124C3">
        <w:rPr>
          <w:rFonts w:asciiTheme="minorBidi" w:hAnsiTheme="minorBidi" w:cstheme="minorBidi"/>
          <w:sz w:val="16"/>
          <w:szCs w:val="16"/>
        </w:rPr>
        <w:t xml:space="preserve"> </w:t>
      </w:r>
      <w:r w:rsidR="000F0D75">
        <w:rPr>
          <w:rFonts w:asciiTheme="minorBidi" w:hAnsiTheme="minorBidi" w:cstheme="minorBidi"/>
          <w:sz w:val="16"/>
          <w:szCs w:val="16"/>
        </w:rPr>
        <w:t>President</w:t>
      </w:r>
      <w:r w:rsidR="00806F0C">
        <w:rPr>
          <w:rFonts w:asciiTheme="minorBidi" w:hAnsiTheme="minorBidi" w:cstheme="minorBidi"/>
          <w:sz w:val="16"/>
          <w:szCs w:val="16"/>
        </w:rPr>
        <w:t xml:space="preserve">’s </w:t>
      </w:r>
      <w:r w:rsidR="001124C3">
        <w:rPr>
          <w:rFonts w:asciiTheme="minorBidi" w:hAnsiTheme="minorBidi" w:cstheme="minorBidi"/>
          <w:sz w:val="16"/>
          <w:szCs w:val="16"/>
        </w:rPr>
        <w:t>report and PCR</w:t>
      </w:r>
      <w:r w:rsidR="00BD5F4F">
        <w:rPr>
          <w:rFonts w:asciiTheme="minorBidi" w:hAnsiTheme="minorBidi" w:cstheme="minorBidi"/>
          <w:sz w:val="16"/>
          <w:szCs w:val="16"/>
        </w:rPr>
        <w:t>.</w:t>
      </w:r>
      <w:r w:rsidR="009B2FFD">
        <w:rPr>
          <w:rFonts w:asciiTheme="minorBidi" w:hAnsiTheme="minorBidi" w:cstheme="minorBidi"/>
          <w:sz w:val="16"/>
          <w:szCs w:val="16"/>
        </w:rPr>
        <w:t xml:space="preserve"> </w:t>
      </w:r>
    </w:p>
    <w:p w:rsidR="003470AE" w:rsidRDefault="003470AE" w:rsidP="003470AE">
      <w:pPr>
        <w:pStyle w:val="ListParagraph"/>
        <w:ind w:left="567"/>
        <w:contextualSpacing w:val="0"/>
        <w:jc w:val="both"/>
        <w:rPr>
          <w:rFonts w:asciiTheme="minorBidi" w:hAnsiTheme="minorBidi" w:cstheme="minorBidi"/>
          <w:sz w:val="16"/>
          <w:szCs w:val="16"/>
        </w:rPr>
      </w:pPr>
      <w:proofErr w:type="gramStart"/>
      <w:r w:rsidRPr="003470AE">
        <w:rPr>
          <w:rFonts w:asciiTheme="minorBidi" w:hAnsiTheme="minorBidi" w:cstheme="minorBidi"/>
          <w:sz w:val="16"/>
          <w:szCs w:val="16"/>
          <w:vertAlign w:val="superscript"/>
        </w:rPr>
        <w:t>a</w:t>
      </w:r>
      <w:proofErr w:type="gramEnd"/>
      <w:r>
        <w:rPr>
          <w:rFonts w:asciiTheme="minorBidi" w:hAnsiTheme="minorBidi" w:cstheme="minorBidi"/>
          <w:sz w:val="16"/>
          <w:szCs w:val="16"/>
        </w:rPr>
        <w:t xml:space="preserve"> According to the PCR page ii. </w:t>
      </w:r>
    </w:p>
    <w:p w:rsidR="009B2FFD" w:rsidRDefault="003470AE" w:rsidP="00AA608E">
      <w:pPr>
        <w:pStyle w:val="ListParagraph"/>
        <w:ind w:left="567"/>
        <w:contextualSpacing w:val="0"/>
        <w:jc w:val="both"/>
        <w:rPr>
          <w:rFonts w:asciiTheme="minorBidi" w:hAnsiTheme="minorBidi" w:cstheme="minorBidi"/>
          <w:sz w:val="16"/>
          <w:szCs w:val="16"/>
        </w:rPr>
      </w:pPr>
      <w:proofErr w:type="gramStart"/>
      <w:r w:rsidRPr="00E22AB6">
        <w:rPr>
          <w:rFonts w:asciiTheme="minorBidi" w:hAnsiTheme="minorBidi" w:cstheme="minorBidi"/>
          <w:sz w:val="16"/>
          <w:szCs w:val="16"/>
          <w:vertAlign w:val="superscript"/>
        </w:rPr>
        <w:t>b</w:t>
      </w:r>
      <w:proofErr w:type="gramEnd"/>
      <w:r w:rsidR="00502C8B">
        <w:rPr>
          <w:rFonts w:asciiTheme="minorBidi" w:hAnsiTheme="minorBidi" w:cstheme="minorBidi"/>
          <w:sz w:val="16"/>
          <w:szCs w:val="16"/>
        </w:rPr>
        <w:t xml:space="preserve"> </w:t>
      </w:r>
      <w:r w:rsidR="00AA608E">
        <w:rPr>
          <w:rFonts w:asciiTheme="minorBidi" w:hAnsiTheme="minorBidi" w:cstheme="minorBidi"/>
          <w:sz w:val="16"/>
          <w:szCs w:val="16"/>
        </w:rPr>
        <w:t xml:space="preserve">According to </w:t>
      </w:r>
      <w:r w:rsidR="009B2FFD">
        <w:rPr>
          <w:rFonts w:asciiTheme="minorBidi" w:hAnsiTheme="minorBidi" w:cstheme="minorBidi"/>
          <w:sz w:val="16"/>
          <w:szCs w:val="16"/>
        </w:rPr>
        <w:t>IFAD database</w:t>
      </w:r>
      <w:r w:rsidR="00AA608E">
        <w:rPr>
          <w:rFonts w:asciiTheme="minorBidi" w:hAnsiTheme="minorBidi" w:cstheme="minorBidi"/>
          <w:sz w:val="16"/>
          <w:szCs w:val="16"/>
        </w:rPr>
        <w:t xml:space="preserve">, which should indicate an </w:t>
      </w:r>
      <w:r>
        <w:rPr>
          <w:rFonts w:asciiTheme="minorBidi" w:hAnsiTheme="minorBidi" w:cstheme="minorBidi"/>
          <w:sz w:val="16"/>
          <w:szCs w:val="16"/>
        </w:rPr>
        <w:t>updated figure</w:t>
      </w:r>
      <w:r w:rsidR="009B2FFD">
        <w:rPr>
          <w:rFonts w:asciiTheme="minorBidi" w:hAnsiTheme="minorBidi" w:cstheme="minorBidi"/>
          <w:sz w:val="16"/>
          <w:szCs w:val="16"/>
        </w:rPr>
        <w:t>.</w:t>
      </w:r>
    </w:p>
    <w:p w:rsidR="003470AE" w:rsidRDefault="003470AE" w:rsidP="00E22AB6">
      <w:pPr>
        <w:pStyle w:val="ListParagraph"/>
        <w:ind w:left="567"/>
        <w:contextualSpacing w:val="0"/>
        <w:jc w:val="both"/>
        <w:rPr>
          <w:rFonts w:asciiTheme="minorBidi" w:hAnsiTheme="minorBidi" w:cstheme="minorBidi"/>
          <w:sz w:val="16"/>
          <w:szCs w:val="16"/>
        </w:rPr>
      </w:pPr>
      <w:proofErr w:type="gramStart"/>
      <w:r w:rsidRPr="00E22AB6">
        <w:rPr>
          <w:rFonts w:asciiTheme="minorBidi" w:hAnsiTheme="minorBidi" w:cstheme="minorBidi"/>
          <w:sz w:val="16"/>
          <w:szCs w:val="16"/>
          <w:vertAlign w:val="superscript"/>
        </w:rPr>
        <w:t>c</w:t>
      </w:r>
      <w:proofErr w:type="gramEnd"/>
      <w:r>
        <w:rPr>
          <w:rFonts w:asciiTheme="minorBidi" w:hAnsiTheme="minorBidi" w:cstheme="minorBidi"/>
          <w:sz w:val="16"/>
          <w:szCs w:val="16"/>
        </w:rPr>
        <w:t xml:space="preserve"> According to the PCR narrative (paragraph 84) – the amount is different from PCR</w:t>
      </w:r>
      <w:r w:rsidR="00E22AB6">
        <w:rPr>
          <w:rFonts w:asciiTheme="minorBidi" w:hAnsiTheme="minorBidi" w:cstheme="minorBidi"/>
          <w:sz w:val="16"/>
          <w:szCs w:val="16"/>
        </w:rPr>
        <w:t xml:space="preserve"> page ii.</w:t>
      </w:r>
    </w:p>
    <w:p w:rsidR="009B2FFD" w:rsidRDefault="003470AE" w:rsidP="00502C8B">
      <w:pPr>
        <w:pStyle w:val="ListParagraph"/>
        <w:spacing w:after="120"/>
        <w:ind w:left="567"/>
        <w:contextualSpacing w:val="0"/>
        <w:jc w:val="both"/>
        <w:rPr>
          <w:rFonts w:asciiTheme="minorBidi" w:hAnsiTheme="minorBidi" w:cstheme="minorBidi"/>
          <w:sz w:val="16"/>
          <w:szCs w:val="16"/>
        </w:rPr>
      </w:pPr>
      <w:proofErr w:type="gramStart"/>
      <w:r w:rsidRPr="00E22AB6">
        <w:rPr>
          <w:rFonts w:asciiTheme="minorBidi" w:hAnsiTheme="minorBidi" w:cstheme="minorBidi"/>
          <w:sz w:val="16"/>
          <w:szCs w:val="16"/>
          <w:vertAlign w:val="superscript"/>
        </w:rPr>
        <w:t>d</w:t>
      </w:r>
      <w:proofErr w:type="gramEnd"/>
      <w:r w:rsidR="008E1D58">
        <w:rPr>
          <w:rFonts w:asciiTheme="minorBidi" w:hAnsiTheme="minorBidi" w:cstheme="minorBidi"/>
          <w:sz w:val="16"/>
          <w:szCs w:val="16"/>
        </w:rPr>
        <w:t xml:space="preserve"> </w:t>
      </w:r>
      <w:r w:rsidR="006E5FCA">
        <w:rPr>
          <w:rFonts w:asciiTheme="minorBidi" w:hAnsiTheme="minorBidi" w:cstheme="minorBidi"/>
          <w:sz w:val="16"/>
          <w:szCs w:val="16"/>
        </w:rPr>
        <w:t>The approved amount was SDR 6.35 million, of which SDR 6.349 million disbursed. Discrepancy in the disbursement rate in US$ and SDR terms is due to the exchange fluctuation between US$ and SDR.</w:t>
      </w:r>
      <w:r w:rsidR="009B2FFD">
        <w:rPr>
          <w:rFonts w:asciiTheme="minorBidi" w:hAnsiTheme="minorBidi" w:cstheme="minorBidi"/>
          <w:sz w:val="16"/>
          <w:szCs w:val="16"/>
        </w:rPr>
        <w:t xml:space="preserve">  </w:t>
      </w:r>
    </w:p>
    <w:p w:rsidR="009536D8" w:rsidRPr="009536D8" w:rsidRDefault="009536D8" w:rsidP="00F82074">
      <w:pPr>
        <w:pStyle w:val="ListParagraph"/>
        <w:ind w:left="567"/>
        <w:contextualSpacing w:val="0"/>
        <w:jc w:val="both"/>
        <w:rPr>
          <w:rFonts w:asciiTheme="minorBidi" w:hAnsiTheme="minorBidi" w:cstheme="minorBidi"/>
          <w:sz w:val="18"/>
          <w:szCs w:val="18"/>
        </w:rPr>
      </w:pPr>
      <w:r w:rsidRPr="009536D8">
        <w:rPr>
          <w:rFonts w:asciiTheme="minorBidi" w:hAnsiTheme="minorBidi" w:cstheme="minorBidi"/>
          <w:sz w:val="18"/>
          <w:szCs w:val="18"/>
        </w:rPr>
        <w:t>Ta</w:t>
      </w:r>
      <w:r>
        <w:rPr>
          <w:rFonts w:asciiTheme="minorBidi" w:hAnsiTheme="minorBidi" w:cstheme="minorBidi"/>
          <w:sz w:val="18"/>
          <w:szCs w:val="18"/>
        </w:rPr>
        <w:t>ble 2</w:t>
      </w:r>
    </w:p>
    <w:p w:rsidR="009536D8" w:rsidRPr="009536D8" w:rsidRDefault="00B524F4" w:rsidP="00B524F4">
      <w:pPr>
        <w:pStyle w:val="ListParagraph"/>
        <w:spacing w:after="40"/>
        <w:ind w:left="567"/>
        <w:contextualSpacing w:val="0"/>
        <w:jc w:val="both"/>
        <w:rPr>
          <w:rFonts w:asciiTheme="minorBidi" w:hAnsiTheme="minorBidi" w:cstheme="minorBidi"/>
          <w:b/>
          <w:bCs/>
          <w:sz w:val="18"/>
          <w:szCs w:val="18"/>
        </w:rPr>
      </w:pPr>
      <w:r>
        <w:rPr>
          <w:rFonts w:asciiTheme="minorBidi" w:hAnsiTheme="minorBidi" w:cstheme="minorBidi"/>
          <w:b/>
          <w:bCs/>
          <w:sz w:val="18"/>
          <w:szCs w:val="18"/>
        </w:rPr>
        <w:t xml:space="preserve">Project </w:t>
      </w:r>
      <w:r w:rsidR="009536D8">
        <w:rPr>
          <w:rFonts w:asciiTheme="minorBidi" w:hAnsiTheme="minorBidi" w:cstheme="minorBidi"/>
          <w:b/>
          <w:bCs/>
          <w:sz w:val="18"/>
          <w:szCs w:val="18"/>
        </w:rPr>
        <w:t>cost</w:t>
      </w:r>
      <w:r>
        <w:rPr>
          <w:rFonts w:asciiTheme="minorBidi" w:hAnsiTheme="minorBidi" w:cstheme="minorBidi"/>
          <w:b/>
          <w:bCs/>
          <w:sz w:val="18"/>
          <w:szCs w:val="18"/>
        </w:rPr>
        <w:t xml:space="preserve"> by component (US$ million)</w:t>
      </w:r>
    </w:p>
    <w:tbl>
      <w:tblPr>
        <w:tblStyle w:val="IOETable"/>
        <w:tblW w:w="8462" w:type="dxa"/>
        <w:tblLook w:val="04A0" w:firstRow="1" w:lastRow="0" w:firstColumn="1" w:lastColumn="0" w:noHBand="0" w:noVBand="1"/>
      </w:tblPr>
      <w:tblGrid>
        <w:gridCol w:w="3261"/>
        <w:gridCol w:w="1417"/>
        <w:gridCol w:w="1418"/>
        <w:gridCol w:w="903"/>
        <w:gridCol w:w="1463"/>
      </w:tblGrid>
      <w:tr w:rsidR="006E5FCA" w:rsidRPr="00F83458" w:rsidTr="00F83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Align w:val="center"/>
          </w:tcPr>
          <w:p w:rsidR="006E5FCA" w:rsidRPr="00F83458" w:rsidRDefault="006E5FCA" w:rsidP="00D10905">
            <w:pPr>
              <w:spacing w:before="40" w:after="40"/>
              <w:rPr>
                <w:rFonts w:asciiTheme="minorBidi" w:hAnsiTheme="minorBidi" w:cstheme="minorBidi"/>
              </w:rPr>
            </w:pPr>
            <w:r w:rsidRPr="00F83458">
              <w:rPr>
                <w:rFonts w:asciiTheme="minorBidi" w:hAnsiTheme="minorBidi" w:cstheme="minorBidi"/>
              </w:rPr>
              <w:t>Component</w:t>
            </w:r>
          </w:p>
        </w:tc>
        <w:tc>
          <w:tcPr>
            <w:tcW w:w="1417" w:type="dxa"/>
            <w:vAlign w:val="center"/>
          </w:tcPr>
          <w:p w:rsidR="006E5FCA" w:rsidRPr="00F83458" w:rsidRDefault="006E5FCA" w:rsidP="00D10905">
            <w:pPr>
              <w:tabs>
                <w:tab w:val="left" w:pos="611"/>
                <w:tab w:val="right" w:pos="2749"/>
              </w:tabs>
              <w:spacing w:before="40" w:after="4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Allocation at appraisal</w:t>
            </w:r>
          </w:p>
        </w:tc>
        <w:tc>
          <w:tcPr>
            <w:tcW w:w="1418" w:type="dxa"/>
            <w:vAlign w:val="center"/>
          </w:tcPr>
          <w:p w:rsidR="006E5FCA" w:rsidRPr="00F83458" w:rsidRDefault="006E5FCA" w:rsidP="00D10905">
            <w:pPr>
              <w:tabs>
                <w:tab w:val="left" w:pos="611"/>
                <w:tab w:val="right" w:pos="2749"/>
              </w:tabs>
              <w:spacing w:before="40" w:after="4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Actual expenditure</w:t>
            </w:r>
          </w:p>
        </w:tc>
        <w:tc>
          <w:tcPr>
            <w:tcW w:w="903" w:type="dxa"/>
            <w:vAlign w:val="center"/>
          </w:tcPr>
          <w:p w:rsidR="006E5FCA" w:rsidRPr="00F83458" w:rsidRDefault="006E5FCA" w:rsidP="00D10905">
            <w:pPr>
              <w:tabs>
                <w:tab w:val="left" w:pos="611"/>
                <w:tab w:val="right" w:pos="2749"/>
              </w:tabs>
              <w:spacing w:before="40" w:after="4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 disbursed</w:t>
            </w:r>
          </w:p>
        </w:tc>
        <w:tc>
          <w:tcPr>
            <w:tcW w:w="1463" w:type="dxa"/>
            <w:vAlign w:val="center"/>
          </w:tcPr>
          <w:p w:rsidR="006E5FCA" w:rsidRPr="00F83458" w:rsidRDefault="006E5FCA" w:rsidP="00D10905">
            <w:pPr>
              <w:tabs>
                <w:tab w:val="left" w:pos="611"/>
                <w:tab w:val="right" w:pos="2749"/>
              </w:tabs>
              <w:spacing w:before="40" w:after="4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 of total actual expenditure</w:t>
            </w:r>
          </w:p>
        </w:tc>
      </w:tr>
      <w:tr w:rsidR="006E5FCA" w:rsidRPr="00F83458" w:rsidTr="00F83458">
        <w:tc>
          <w:tcPr>
            <w:cnfStyle w:val="001000000000" w:firstRow="0" w:lastRow="0" w:firstColumn="1" w:lastColumn="0" w:oddVBand="0" w:evenVBand="0" w:oddHBand="0" w:evenHBand="0" w:firstRowFirstColumn="0" w:firstRowLastColumn="0" w:lastRowFirstColumn="0" w:lastRowLastColumn="0"/>
            <w:tcW w:w="3261" w:type="dxa"/>
          </w:tcPr>
          <w:p w:rsidR="006E5FCA" w:rsidRPr="00F83458" w:rsidRDefault="006E5FCA" w:rsidP="00D10905">
            <w:pPr>
              <w:pStyle w:val="ListParagraph"/>
              <w:spacing w:before="40"/>
              <w:ind w:left="0"/>
              <w:contextualSpacing w:val="0"/>
              <w:rPr>
                <w:rFonts w:asciiTheme="minorBidi" w:hAnsiTheme="minorBidi" w:cstheme="minorBidi"/>
              </w:rPr>
            </w:pPr>
            <w:r w:rsidRPr="00F83458">
              <w:rPr>
                <w:rFonts w:asciiTheme="minorBidi" w:hAnsiTheme="minorBidi" w:cstheme="minorBidi"/>
                <w:lang w:val="en-GB"/>
              </w:rPr>
              <w:t>Strengthening and development of the institutional and regulatory environment</w:t>
            </w:r>
          </w:p>
        </w:tc>
        <w:tc>
          <w:tcPr>
            <w:tcW w:w="1417" w:type="dxa"/>
            <w:vAlign w:val="center"/>
          </w:tcPr>
          <w:p w:rsidR="006E5FCA" w:rsidRPr="00F83458" w:rsidRDefault="006E5FCA"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1.86</w:t>
            </w:r>
          </w:p>
        </w:tc>
        <w:tc>
          <w:tcPr>
            <w:tcW w:w="1418" w:type="dxa"/>
            <w:vAlign w:val="center"/>
          </w:tcPr>
          <w:p w:rsidR="006E5FCA" w:rsidRPr="00F83458" w:rsidRDefault="006E5FCA"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1.16</w:t>
            </w:r>
          </w:p>
        </w:tc>
        <w:tc>
          <w:tcPr>
            <w:tcW w:w="903" w:type="dxa"/>
            <w:vAlign w:val="center"/>
          </w:tcPr>
          <w:p w:rsidR="006E5FCA" w:rsidRPr="00F83458" w:rsidRDefault="006E5FCA"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62</w:t>
            </w:r>
          </w:p>
        </w:tc>
        <w:tc>
          <w:tcPr>
            <w:tcW w:w="1463" w:type="dxa"/>
            <w:vAlign w:val="center"/>
          </w:tcPr>
          <w:p w:rsidR="006E5FCA" w:rsidRPr="00F83458" w:rsidRDefault="00D10905"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12.8</w:t>
            </w:r>
          </w:p>
        </w:tc>
      </w:tr>
      <w:tr w:rsidR="006E5FCA" w:rsidRPr="00F83458" w:rsidTr="00F834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6E5FCA" w:rsidRPr="00F83458" w:rsidRDefault="006E5FCA" w:rsidP="00D10905">
            <w:pPr>
              <w:pStyle w:val="ListParagraph"/>
              <w:spacing w:before="40"/>
              <w:ind w:left="0"/>
              <w:contextualSpacing w:val="0"/>
              <w:rPr>
                <w:rFonts w:asciiTheme="minorBidi" w:hAnsiTheme="minorBidi" w:cstheme="minorBidi"/>
              </w:rPr>
            </w:pPr>
            <w:r w:rsidRPr="00F83458">
              <w:rPr>
                <w:rFonts w:asciiTheme="minorBidi" w:hAnsiTheme="minorBidi" w:cstheme="minorBidi"/>
                <w:lang w:val="en-GB"/>
              </w:rPr>
              <w:t>Improvement of the seed production system</w:t>
            </w:r>
          </w:p>
        </w:tc>
        <w:tc>
          <w:tcPr>
            <w:tcW w:w="1417" w:type="dxa"/>
            <w:vAlign w:val="center"/>
          </w:tcPr>
          <w:p w:rsidR="006E5FCA" w:rsidRPr="00F83458" w:rsidRDefault="006E5FCA" w:rsidP="00D10905">
            <w:pPr>
              <w:pStyle w:val="ListParagraph"/>
              <w:spacing w:before="40"/>
              <w:ind w:left="0"/>
              <w:contextualSpacing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F83458">
              <w:rPr>
                <w:rFonts w:asciiTheme="minorBidi" w:hAnsiTheme="minorBidi" w:cstheme="minorBidi"/>
              </w:rPr>
              <w:t>3.10</w:t>
            </w:r>
          </w:p>
        </w:tc>
        <w:tc>
          <w:tcPr>
            <w:tcW w:w="1418" w:type="dxa"/>
            <w:vAlign w:val="center"/>
          </w:tcPr>
          <w:p w:rsidR="006E5FCA" w:rsidRPr="00F83458" w:rsidRDefault="006E5FCA" w:rsidP="00D10905">
            <w:pPr>
              <w:pStyle w:val="ListParagraph"/>
              <w:spacing w:before="40"/>
              <w:ind w:left="0"/>
              <w:contextualSpacing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F83458">
              <w:rPr>
                <w:rFonts w:asciiTheme="minorBidi" w:hAnsiTheme="minorBidi" w:cstheme="minorBidi"/>
              </w:rPr>
              <w:t>1.41</w:t>
            </w:r>
          </w:p>
        </w:tc>
        <w:tc>
          <w:tcPr>
            <w:tcW w:w="903" w:type="dxa"/>
            <w:vAlign w:val="center"/>
          </w:tcPr>
          <w:p w:rsidR="006E5FCA" w:rsidRPr="00F83458" w:rsidRDefault="006E5FCA" w:rsidP="00D10905">
            <w:pPr>
              <w:pStyle w:val="ListParagraph"/>
              <w:spacing w:before="40"/>
              <w:ind w:left="0"/>
              <w:contextualSpacing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F83458">
              <w:rPr>
                <w:rFonts w:asciiTheme="minorBidi" w:hAnsiTheme="minorBidi" w:cstheme="minorBidi"/>
              </w:rPr>
              <w:t>45.4</w:t>
            </w:r>
          </w:p>
        </w:tc>
        <w:tc>
          <w:tcPr>
            <w:tcW w:w="1463" w:type="dxa"/>
            <w:vAlign w:val="center"/>
          </w:tcPr>
          <w:p w:rsidR="006E5FCA" w:rsidRPr="00F83458" w:rsidRDefault="00D10905" w:rsidP="00D10905">
            <w:pPr>
              <w:pStyle w:val="ListParagraph"/>
              <w:spacing w:before="40"/>
              <w:ind w:left="0"/>
              <w:contextualSpacing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F83458">
              <w:rPr>
                <w:rFonts w:asciiTheme="minorBidi" w:hAnsiTheme="minorBidi" w:cstheme="minorBidi"/>
              </w:rPr>
              <w:t>15.5</w:t>
            </w:r>
          </w:p>
        </w:tc>
      </w:tr>
      <w:tr w:rsidR="006E5FCA" w:rsidRPr="00F83458" w:rsidTr="00F83458">
        <w:tc>
          <w:tcPr>
            <w:cnfStyle w:val="001000000000" w:firstRow="0" w:lastRow="0" w:firstColumn="1" w:lastColumn="0" w:oddVBand="0" w:evenVBand="0" w:oddHBand="0" w:evenHBand="0" w:firstRowFirstColumn="0" w:firstRowLastColumn="0" w:lastRowFirstColumn="0" w:lastRowLastColumn="0"/>
            <w:tcW w:w="3261" w:type="dxa"/>
          </w:tcPr>
          <w:p w:rsidR="006E5FCA" w:rsidRPr="00F83458" w:rsidRDefault="006E5FCA" w:rsidP="00D10905">
            <w:pPr>
              <w:pStyle w:val="ListParagraph"/>
              <w:spacing w:before="40"/>
              <w:ind w:left="0"/>
              <w:contextualSpacing w:val="0"/>
              <w:rPr>
                <w:rFonts w:asciiTheme="minorBidi" w:hAnsiTheme="minorBidi" w:cstheme="minorBidi"/>
              </w:rPr>
            </w:pPr>
            <w:r w:rsidRPr="00F83458">
              <w:rPr>
                <w:rFonts w:asciiTheme="minorBidi" w:hAnsiTheme="minorBidi" w:cstheme="minorBidi"/>
                <w:lang w:val="en-GB"/>
              </w:rPr>
              <w:t>Seed supply/market development</w:t>
            </w:r>
          </w:p>
        </w:tc>
        <w:tc>
          <w:tcPr>
            <w:tcW w:w="1417" w:type="dxa"/>
            <w:vAlign w:val="center"/>
          </w:tcPr>
          <w:p w:rsidR="006E5FCA" w:rsidRPr="00F83458" w:rsidRDefault="006E5FCA"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9.04</w:t>
            </w:r>
          </w:p>
        </w:tc>
        <w:tc>
          <w:tcPr>
            <w:tcW w:w="1418" w:type="dxa"/>
            <w:vAlign w:val="center"/>
          </w:tcPr>
          <w:p w:rsidR="006E5FCA" w:rsidRPr="00F83458" w:rsidRDefault="006E5FCA"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3.32</w:t>
            </w:r>
          </w:p>
        </w:tc>
        <w:tc>
          <w:tcPr>
            <w:tcW w:w="903" w:type="dxa"/>
            <w:vAlign w:val="center"/>
          </w:tcPr>
          <w:p w:rsidR="006E5FCA" w:rsidRPr="00F83458" w:rsidRDefault="006E5FCA"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36.7</w:t>
            </w:r>
          </w:p>
        </w:tc>
        <w:tc>
          <w:tcPr>
            <w:tcW w:w="1463" w:type="dxa"/>
            <w:vAlign w:val="center"/>
          </w:tcPr>
          <w:p w:rsidR="006E5FCA" w:rsidRPr="00F83458" w:rsidRDefault="00D10905"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F83458">
              <w:rPr>
                <w:rFonts w:asciiTheme="minorBidi" w:hAnsiTheme="minorBidi" w:cstheme="minorBidi"/>
              </w:rPr>
              <w:t>36.6</w:t>
            </w:r>
          </w:p>
        </w:tc>
      </w:tr>
      <w:tr w:rsidR="006E5FCA" w:rsidRPr="00F83458" w:rsidTr="00F834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6E5FCA" w:rsidRPr="00F83458" w:rsidRDefault="006E5FCA" w:rsidP="00D10905">
            <w:pPr>
              <w:pStyle w:val="ListParagraph"/>
              <w:spacing w:before="40"/>
              <w:ind w:left="0"/>
              <w:contextualSpacing w:val="0"/>
              <w:rPr>
                <w:rFonts w:asciiTheme="minorBidi" w:hAnsiTheme="minorBidi" w:cstheme="minorBidi"/>
              </w:rPr>
            </w:pPr>
            <w:r w:rsidRPr="00F83458">
              <w:rPr>
                <w:rFonts w:asciiTheme="minorBidi" w:hAnsiTheme="minorBidi" w:cstheme="minorBidi"/>
                <w:lang w:val="en-GB"/>
              </w:rPr>
              <w:t>Project coordination and management</w:t>
            </w:r>
          </w:p>
        </w:tc>
        <w:tc>
          <w:tcPr>
            <w:tcW w:w="1417" w:type="dxa"/>
            <w:vAlign w:val="center"/>
          </w:tcPr>
          <w:p w:rsidR="006E5FCA" w:rsidRPr="00F83458" w:rsidRDefault="006E5FCA" w:rsidP="00D10905">
            <w:pPr>
              <w:pStyle w:val="ListParagraph"/>
              <w:spacing w:before="40"/>
              <w:ind w:left="0"/>
              <w:contextualSpacing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F83458">
              <w:rPr>
                <w:rFonts w:asciiTheme="minorBidi" w:hAnsiTheme="minorBidi" w:cstheme="minorBidi"/>
              </w:rPr>
              <w:t>3.46</w:t>
            </w:r>
          </w:p>
        </w:tc>
        <w:tc>
          <w:tcPr>
            <w:tcW w:w="1418" w:type="dxa"/>
            <w:vAlign w:val="center"/>
          </w:tcPr>
          <w:p w:rsidR="006E5FCA" w:rsidRPr="00F83458" w:rsidRDefault="006E5FCA" w:rsidP="00D10905">
            <w:pPr>
              <w:pStyle w:val="ListParagraph"/>
              <w:spacing w:before="40"/>
              <w:ind w:left="0"/>
              <w:contextualSpacing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F83458">
              <w:rPr>
                <w:rFonts w:asciiTheme="minorBidi" w:hAnsiTheme="minorBidi" w:cstheme="minorBidi"/>
              </w:rPr>
              <w:t>3.18</w:t>
            </w:r>
          </w:p>
        </w:tc>
        <w:tc>
          <w:tcPr>
            <w:tcW w:w="903" w:type="dxa"/>
            <w:vAlign w:val="center"/>
          </w:tcPr>
          <w:p w:rsidR="006E5FCA" w:rsidRPr="00F83458" w:rsidRDefault="006E5FCA" w:rsidP="00D10905">
            <w:pPr>
              <w:pStyle w:val="ListParagraph"/>
              <w:spacing w:before="40"/>
              <w:ind w:left="0"/>
              <w:contextualSpacing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F83458">
              <w:rPr>
                <w:rFonts w:asciiTheme="minorBidi" w:hAnsiTheme="minorBidi" w:cstheme="minorBidi"/>
              </w:rPr>
              <w:t>92</w:t>
            </w:r>
          </w:p>
        </w:tc>
        <w:tc>
          <w:tcPr>
            <w:tcW w:w="1463" w:type="dxa"/>
            <w:vAlign w:val="center"/>
          </w:tcPr>
          <w:p w:rsidR="006E5FCA" w:rsidRPr="00F83458" w:rsidRDefault="00D10905" w:rsidP="00D10905">
            <w:pPr>
              <w:pStyle w:val="ListParagraph"/>
              <w:spacing w:before="40"/>
              <w:ind w:left="0"/>
              <w:contextualSpacing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F83458">
              <w:rPr>
                <w:rFonts w:asciiTheme="minorBidi" w:hAnsiTheme="minorBidi" w:cstheme="minorBidi"/>
              </w:rPr>
              <w:t>35</w:t>
            </w:r>
          </w:p>
        </w:tc>
      </w:tr>
      <w:tr w:rsidR="006E5FCA" w:rsidRPr="00F83458" w:rsidTr="00F83458">
        <w:tc>
          <w:tcPr>
            <w:cnfStyle w:val="001000000000" w:firstRow="0" w:lastRow="0" w:firstColumn="1" w:lastColumn="0" w:oddVBand="0" w:evenVBand="0" w:oddHBand="0" w:evenHBand="0" w:firstRowFirstColumn="0" w:firstRowLastColumn="0" w:lastRowFirstColumn="0" w:lastRowLastColumn="0"/>
            <w:tcW w:w="3261" w:type="dxa"/>
            <w:vAlign w:val="center"/>
          </w:tcPr>
          <w:p w:rsidR="006E5FCA" w:rsidRPr="00F83458" w:rsidRDefault="006E5FCA" w:rsidP="00D10905">
            <w:pPr>
              <w:pStyle w:val="ListParagraph"/>
              <w:spacing w:before="40"/>
              <w:ind w:left="0"/>
              <w:contextualSpacing w:val="0"/>
              <w:rPr>
                <w:rFonts w:asciiTheme="minorBidi" w:hAnsiTheme="minorBidi" w:cstheme="minorBidi"/>
                <w:b/>
                <w:bCs/>
              </w:rPr>
            </w:pPr>
            <w:r w:rsidRPr="00F83458">
              <w:rPr>
                <w:rFonts w:asciiTheme="minorBidi" w:hAnsiTheme="minorBidi" w:cstheme="minorBidi"/>
                <w:b/>
                <w:bCs/>
              </w:rPr>
              <w:t>Total</w:t>
            </w:r>
          </w:p>
        </w:tc>
        <w:tc>
          <w:tcPr>
            <w:tcW w:w="1417" w:type="dxa"/>
            <w:vAlign w:val="center"/>
          </w:tcPr>
          <w:p w:rsidR="006E5FCA" w:rsidRPr="00F83458" w:rsidRDefault="006E5FCA"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sidRPr="00F83458">
              <w:rPr>
                <w:rFonts w:asciiTheme="minorBidi" w:hAnsiTheme="minorBidi" w:cstheme="minorBidi"/>
                <w:b/>
                <w:bCs/>
              </w:rPr>
              <w:t>17.46</w:t>
            </w:r>
          </w:p>
        </w:tc>
        <w:tc>
          <w:tcPr>
            <w:tcW w:w="1418" w:type="dxa"/>
            <w:vAlign w:val="center"/>
          </w:tcPr>
          <w:p w:rsidR="006E5FCA" w:rsidRPr="00F83458" w:rsidRDefault="006E5FCA"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sidRPr="00F83458">
              <w:rPr>
                <w:rFonts w:asciiTheme="minorBidi" w:hAnsiTheme="minorBidi" w:cstheme="minorBidi"/>
                <w:b/>
                <w:bCs/>
              </w:rPr>
              <w:t>9.07</w:t>
            </w:r>
          </w:p>
        </w:tc>
        <w:tc>
          <w:tcPr>
            <w:tcW w:w="903" w:type="dxa"/>
            <w:vAlign w:val="center"/>
          </w:tcPr>
          <w:p w:rsidR="006E5FCA" w:rsidRPr="00F83458" w:rsidRDefault="006E5FCA"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sidRPr="00F83458">
              <w:rPr>
                <w:rFonts w:asciiTheme="minorBidi" w:hAnsiTheme="minorBidi" w:cstheme="minorBidi"/>
                <w:b/>
                <w:bCs/>
              </w:rPr>
              <w:t>52</w:t>
            </w:r>
          </w:p>
        </w:tc>
        <w:tc>
          <w:tcPr>
            <w:tcW w:w="1463" w:type="dxa"/>
            <w:vAlign w:val="center"/>
          </w:tcPr>
          <w:p w:rsidR="006E5FCA" w:rsidRPr="00F83458" w:rsidRDefault="00D10905" w:rsidP="00D10905">
            <w:pPr>
              <w:pStyle w:val="ListParagraph"/>
              <w:spacing w:before="40"/>
              <w:ind w:left="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sidRPr="00F83458">
              <w:rPr>
                <w:rFonts w:asciiTheme="minorBidi" w:hAnsiTheme="minorBidi" w:cstheme="minorBidi"/>
                <w:b/>
                <w:bCs/>
              </w:rPr>
              <w:t>100</w:t>
            </w:r>
          </w:p>
        </w:tc>
      </w:tr>
    </w:tbl>
    <w:p w:rsidR="009536D8" w:rsidRPr="009536D8" w:rsidRDefault="009536D8" w:rsidP="00A11D68">
      <w:pPr>
        <w:pStyle w:val="ListParagraph"/>
        <w:spacing w:after="120"/>
        <w:ind w:left="567"/>
        <w:contextualSpacing w:val="0"/>
        <w:jc w:val="both"/>
        <w:rPr>
          <w:rFonts w:asciiTheme="minorBidi" w:hAnsiTheme="minorBidi" w:cstheme="minorBidi"/>
          <w:sz w:val="16"/>
          <w:szCs w:val="16"/>
        </w:rPr>
      </w:pPr>
      <w:r w:rsidRPr="009536D8">
        <w:rPr>
          <w:rFonts w:asciiTheme="minorBidi" w:hAnsiTheme="minorBidi" w:cstheme="minorBidi"/>
          <w:sz w:val="16"/>
          <w:szCs w:val="16"/>
        </w:rPr>
        <w:t>Source:</w:t>
      </w:r>
      <w:r w:rsidR="00382400">
        <w:rPr>
          <w:rFonts w:asciiTheme="minorBidi" w:hAnsiTheme="minorBidi" w:cstheme="minorBidi"/>
          <w:sz w:val="16"/>
          <w:szCs w:val="16"/>
        </w:rPr>
        <w:t xml:space="preserve"> President's Report</w:t>
      </w:r>
      <w:r w:rsidR="001124C3">
        <w:rPr>
          <w:rFonts w:asciiTheme="minorBidi" w:hAnsiTheme="minorBidi" w:cstheme="minorBidi"/>
          <w:sz w:val="16"/>
          <w:szCs w:val="16"/>
        </w:rPr>
        <w:t>. Design report and PCR</w:t>
      </w:r>
      <w:r w:rsidR="00BD5F4F">
        <w:rPr>
          <w:rFonts w:asciiTheme="minorBidi" w:hAnsiTheme="minorBidi" w:cstheme="minorBidi"/>
          <w:sz w:val="16"/>
          <w:szCs w:val="16"/>
        </w:rPr>
        <w:t>.</w:t>
      </w:r>
    </w:p>
    <w:p w:rsidR="00643F75" w:rsidRDefault="009536D8" w:rsidP="00990C54">
      <w:pPr>
        <w:pStyle w:val="ListParagraph"/>
        <w:numPr>
          <w:ilvl w:val="0"/>
          <w:numId w:val="10"/>
        </w:numPr>
        <w:autoSpaceDE w:val="0"/>
        <w:autoSpaceDN w:val="0"/>
        <w:adjustRightInd w:val="0"/>
        <w:spacing w:after="120"/>
        <w:ind w:left="567" w:hanging="567"/>
        <w:contextualSpacing w:val="0"/>
        <w:rPr>
          <w:lang w:val="en-GB"/>
        </w:rPr>
      </w:pPr>
      <w:r w:rsidRPr="00B81C6C">
        <w:rPr>
          <w:b/>
          <w:bCs/>
        </w:rPr>
        <w:t>Project implementation.</w:t>
      </w:r>
      <w:r>
        <w:t xml:space="preserve"> </w:t>
      </w:r>
      <w:r w:rsidR="00737F28" w:rsidRPr="00B81C6C">
        <w:rPr>
          <w:lang w:val="en-GB"/>
        </w:rPr>
        <w:t xml:space="preserve">The Federal Ministry of Agriculture was the lead agency for </w:t>
      </w:r>
      <w:r w:rsidR="00862A9C" w:rsidRPr="00B81C6C">
        <w:rPr>
          <w:lang w:val="en-GB"/>
        </w:rPr>
        <w:t>SDP</w:t>
      </w:r>
      <w:r w:rsidR="00737F28" w:rsidRPr="00B81C6C">
        <w:rPr>
          <w:lang w:val="en-GB"/>
        </w:rPr>
        <w:t xml:space="preserve"> and responsible for </w:t>
      </w:r>
      <w:r w:rsidR="00926768" w:rsidRPr="00B81C6C">
        <w:rPr>
          <w:lang w:val="en-GB"/>
        </w:rPr>
        <w:t>its</w:t>
      </w:r>
      <w:r w:rsidR="00D21F9C" w:rsidRPr="00B81C6C">
        <w:rPr>
          <w:lang w:val="en-GB"/>
        </w:rPr>
        <w:t xml:space="preserve"> oversight</w:t>
      </w:r>
      <w:r w:rsidR="00862A9C" w:rsidRPr="00B81C6C">
        <w:rPr>
          <w:lang w:val="en-GB"/>
        </w:rPr>
        <w:t xml:space="preserve">. </w:t>
      </w:r>
      <w:r w:rsidR="00926768" w:rsidRPr="00B81C6C">
        <w:rPr>
          <w:lang w:val="en-GB"/>
        </w:rPr>
        <w:t>It chaired</w:t>
      </w:r>
      <w:r w:rsidR="00DE0D9B" w:rsidRPr="00B81C6C">
        <w:rPr>
          <w:lang w:val="en-GB"/>
        </w:rPr>
        <w:t xml:space="preserve"> </w:t>
      </w:r>
      <w:r w:rsidR="003F0D54">
        <w:rPr>
          <w:lang w:val="en-GB"/>
        </w:rPr>
        <w:t>the Inter-Ministerial Steering C</w:t>
      </w:r>
      <w:r w:rsidR="00DE0D9B" w:rsidRPr="00B81C6C">
        <w:rPr>
          <w:lang w:val="en-GB"/>
        </w:rPr>
        <w:t xml:space="preserve">ommittee. </w:t>
      </w:r>
      <w:r w:rsidR="00290904" w:rsidRPr="00290904">
        <w:t xml:space="preserve">The management structure of the project </w:t>
      </w:r>
      <w:r w:rsidR="00290904">
        <w:t>wa</w:t>
      </w:r>
      <w:r w:rsidR="00290904" w:rsidRPr="00290904">
        <w:t xml:space="preserve">s composed of the Project Coordination Unit </w:t>
      </w:r>
      <w:r w:rsidR="00290904">
        <w:t xml:space="preserve">(PCU) </w:t>
      </w:r>
      <w:r w:rsidR="00290904" w:rsidRPr="00290904">
        <w:t>and two State Coordination Units</w:t>
      </w:r>
      <w:r w:rsidR="00290904">
        <w:t>.</w:t>
      </w:r>
      <w:r w:rsidR="00290904" w:rsidRPr="00B81C6C">
        <w:rPr>
          <w:lang w:val="en-GB"/>
        </w:rPr>
        <w:t xml:space="preserve"> The </w:t>
      </w:r>
      <w:r w:rsidR="00070A80">
        <w:rPr>
          <w:lang w:val="en-GB"/>
        </w:rPr>
        <w:t>management of</w:t>
      </w:r>
      <w:r w:rsidR="00290904" w:rsidRPr="00B81C6C">
        <w:rPr>
          <w:lang w:val="en-GB"/>
        </w:rPr>
        <w:t xml:space="preserve"> SDP </w:t>
      </w:r>
      <w:proofErr w:type="gramStart"/>
      <w:r w:rsidR="00290904" w:rsidRPr="00B81C6C">
        <w:rPr>
          <w:lang w:val="en-GB"/>
        </w:rPr>
        <w:t>was fully integrated</w:t>
      </w:r>
      <w:proofErr w:type="gramEnd"/>
      <w:r w:rsidR="00290904" w:rsidRPr="00B81C6C">
        <w:rPr>
          <w:lang w:val="en-GB"/>
        </w:rPr>
        <w:t xml:space="preserve"> within the project </w:t>
      </w:r>
      <w:r w:rsidR="005F75A0" w:rsidRPr="00B81C6C">
        <w:rPr>
          <w:lang w:val="en-GB"/>
        </w:rPr>
        <w:t xml:space="preserve">coordination </w:t>
      </w:r>
      <w:r w:rsidR="00290904" w:rsidRPr="00B81C6C">
        <w:rPr>
          <w:lang w:val="en-GB"/>
        </w:rPr>
        <w:t xml:space="preserve">unit </w:t>
      </w:r>
      <w:r w:rsidR="005F75A0" w:rsidRPr="00FC3113">
        <w:rPr>
          <w:lang w:val="en-GB"/>
        </w:rPr>
        <w:t>for</w:t>
      </w:r>
      <w:r w:rsidR="00CF4835" w:rsidRPr="00FC3113">
        <w:rPr>
          <w:lang w:val="en-GB"/>
        </w:rPr>
        <w:t xml:space="preserve"> </w:t>
      </w:r>
      <w:r w:rsidR="00290904" w:rsidRPr="00FC3113">
        <w:rPr>
          <w:lang w:val="en-GB"/>
        </w:rPr>
        <w:t>the</w:t>
      </w:r>
      <w:r w:rsidR="00290904" w:rsidRPr="00BB2707">
        <w:rPr>
          <w:lang w:val="en-GB"/>
        </w:rPr>
        <w:t xml:space="preserve"> WSRMP</w:t>
      </w:r>
      <w:r w:rsidR="00CF4835" w:rsidRPr="00EC52A5">
        <w:rPr>
          <w:lang w:val="en-GB"/>
        </w:rPr>
        <w:t xml:space="preserve">. </w:t>
      </w:r>
      <w:r w:rsidR="00B81C6C" w:rsidRPr="00B81C6C" w:rsidDel="00B81C6C">
        <w:rPr>
          <w:lang w:val="en-GB"/>
        </w:rPr>
        <w:t xml:space="preserve"> </w:t>
      </w:r>
    </w:p>
    <w:p w:rsidR="00AD0E65" w:rsidRPr="00D10905" w:rsidRDefault="009536D8" w:rsidP="001B0CCC">
      <w:pPr>
        <w:pStyle w:val="ListParagraph"/>
        <w:numPr>
          <w:ilvl w:val="0"/>
          <w:numId w:val="10"/>
        </w:numPr>
        <w:autoSpaceDE w:val="0"/>
        <w:autoSpaceDN w:val="0"/>
        <w:adjustRightInd w:val="0"/>
        <w:spacing w:after="120"/>
        <w:ind w:left="567" w:hanging="567"/>
        <w:contextualSpacing w:val="0"/>
        <w:rPr>
          <w:lang w:val="en-GB"/>
        </w:rPr>
      </w:pPr>
      <w:r w:rsidRPr="00B81C6C">
        <w:rPr>
          <w:b/>
          <w:bCs/>
        </w:rPr>
        <w:t>Intervention logic.</w:t>
      </w:r>
      <w:r w:rsidRPr="005613D2">
        <w:t xml:space="preserve"> </w:t>
      </w:r>
      <w:r w:rsidR="00264EC1" w:rsidRPr="005613D2">
        <w:t xml:space="preserve">SDP </w:t>
      </w:r>
      <w:r w:rsidR="00FB2AB7">
        <w:t>aimed at</w:t>
      </w:r>
      <w:r w:rsidR="008B2121">
        <w:t xml:space="preserve"> increas</w:t>
      </w:r>
      <w:r w:rsidR="00FB2AB7">
        <w:t>ing</w:t>
      </w:r>
      <w:r w:rsidR="008B2121">
        <w:t xml:space="preserve"> </w:t>
      </w:r>
      <w:r w:rsidR="00A248AE">
        <w:t xml:space="preserve">crop productivity </w:t>
      </w:r>
      <w:r w:rsidR="00FB2AB7">
        <w:t xml:space="preserve">of smallholder farmers through </w:t>
      </w:r>
      <w:r w:rsidR="00A248AE">
        <w:t>adopti</w:t>
      </w:r>
      <w:r w:rsidR="00FB2AB7">
        <w:t>on of</w:t>
      </w:r>
      <w:r w:rsidR="00A248AE">
        <w:t xml:space="preserve"> certified</w:t>
      </w:r>
      <w:r w:rsidR="00FB2AB7">
        <w:t xml:space="preserve"> and improved</w:t>
      </w:r>
      <w:r w:rsidR="00A248AE">
        <w:t xml:space="preserve"> seeds.</w:t>
      </w:r>
      <w:r w:rsidR="00643F75">
        <w:t xml:space="preserve"> </w:t>
      </w:r>
      <w:r w:rsidR="008871C2">
        <w:t xml:space="preserve">This was to </w:t>
      </w:r>
      <w:proofErr w:type="gramStart"/>
      <w:r w:rsidR="008871C2">
        <w:t>be achieved</w:t>
      </w:r>
      <w:proofErr w:type="gramEnd"/>
      <w:r w:rsidR="008871C2">
        <w:t xml:space="preserve">, on the one hand, through improving seed production and ensuring availability of certified and improved seeds, and on the other hand, through linking smallholder grain producers to these better quality seeds and technologies as well as other inputs and services. </w:t>
      </w:r>
      <w:r w:rsidR="00070A80">
        <w:t xml:space="preserve">Complementary to </w:t>
      </w:r>
      <w:r w:rsidR="001B0CCC">
        <w:t xml:space="preserve">and in support of </w:t>
      </w:r>
      <w:r w:rsidR="00070A80">
        <w:t xml:space="preserve">these, the project </w:t>
      </w:r>
      <w:proofErr w:type="gramStart"/>
      <w:r w:rsidR="00070A80">
        <w:t>was intended</w:t>
      </w:r>
      <w:proofErr w:type="gramEnd"/>
      <w:r w:rsidR="00070A80">
        <w:t xml:space="preserve"> to </w:t>
      </w:r>
      <w:r w:rsidR="001B0CCC">
        <w:t xml:space="preserve">contribute to developing a more conducive </w:t>
      </w:r>
      <w:r w:rsidR="00070A80">
        <w:t xml:space="preserve">regulatory and institutional framework for the seed industry. </w:t>
      </w:r>
    </w:p>
    <w:p w:rsidR="00BD313C" w:rsidRDefault="00D21F9C" w:rsidP="003F0D54">
      <w:pPr>
        <w:pStyle w:val="ListParagraph"/>
        <w:numPr>
          <w:ilvl w:val="0"/>
          <w:numId w:val="10"/>
        </w:numPr>
        <w:autoSpaceDE w:val="0"/>
        <w:autoSpaceDN w:val="0"/>
        <w:adjustRightInd w:val="0"/>
        <w:spacing w:after="120"/>
        <w:ind w:left="567" w:hanging="567"/>
        <w:contextualSpacing w:val="0"/>
        <w:rPr>
          <w:lang w:val="en-GB"/>
        </w:rPr>
      </w:pPr>
      <w:r w:rsidRPr="004624B2">
        <w:rPr>
          <w:lang w:val="en-GB"/>
        </w:rPr>
        <w:t>SDP capitalize</w:t>
      </w:r>
      <w:r w:rsidR="004624B2">
        <w:rPr>
          <w:lang w:val="en-GB"/>
        </w:rPr>
        <w:t>d</w:t>
      </w:r>
      <w:r w:rsidRPr="004624B2">
        <w:rPr>
          <w:lang w:val="en-GB"/>
        </w:rPr>
        <w:t xml:space="preserve"> on the experience of the South </w:t>
      </w:r>
      <w:proofErr w:type="spellStart"/>
      <w:r w:rsidRPr="004624B2">
        <w:rPr>
          <w:lang w:val="en-GB"/>
        </w:rPr>
        <w:t>Kordo</w:t>
      </w:r>
      <w:r w:rsidR="003F0D54">
        <w:rPr>
          <w:lang w:val="en-GB"/>
        </w:rPr>
        <w:t>fan</w:t>
      </w:r>
      <w:proofErr w:type="spellEnd"/>
      <w:r w:rsidR="003F0D54">
        <w:rPr>
          <w:lang w:val="en-GB"/>
        </w:rPr>
        <w:t xml:space="preserve"> Rural Development Programme</w:t>
      </w:r>
      <w:r w:rsidR="009711B8">
        <w:rPr>
          <w:rStyle w:val="FootnoteReference"/>
          <w:lang w:val="en-GB"/>
        </w:rPr>
        <w:footnoteReference w:id="8"/>
      </w:r>
      <w:r w:rsidRPr="004624B2">
        <w:rPr>
          <w:lang w:val="en-GB"/>
        </w:rPr>
        <w:t xml:space="preserve"> and the WSRMP </w:t>
      </w:r>
      <w:r w:rsidR="00E15B97" w:rsidRPr="004624B2">
        <w:rPr>
          <w:lang w:val="en-GB"/>
        </w:rPr>
        <w:t>using the</w:t>
      </w:r>
      <w:r w:rsidRPr="004624B2">
        <w:rPr>
          <w:lang w:val="en-GB"/>
        </w:rPr>
        <w:t xml:space="preserve"> models</w:t>
      </w:r>
      <w:r w:rsidR="00E15B97" w:rsidRPr="004624B2">
        <w:rPr>
          <w:lang w:val="en-GB"/>
        </w:rPr>
        <w:t xml:space="preserve"> of CDCs, the multi-disciplinary extension teams</w:t>
      </w:r>
      <w:r w:rsidRPr="004624B2">
        <w:rPr>
          <w:lang w:val="en-GB"/>
        </w:rPr>
        <w:t xml:space="preserve">, </w:t>
      </w:r>
      <w:r w:rsidR="00E15B97" w:rsidRPr="004624B2">
        <w:rPr>
          <w:lang w:val="en-GB"/>
        </w:rPr>
        <w:t>and the establishment of microfinance initiatives that facilitate the access of the poor and smallholders to credit.</w:t>
      </w:r>
    </w:p>
    <w:p w:rsidR="004624B2" w:rsidRPr="00BD313C" w:rsidRDefault="00327993" w:rsidP="005F75A0">
      <w:pPr>
        <w:pStyle w:val="ListParagraph"/>
        <w:numPr>
          <w:ilvl w:val="0"/>
          <w:numId w:val="10"/>
        </w:numPr>
        <w:autoSpaceDE w:val="0"/>
        <w:autoSpaceDN w:val="0"/>
        <w:adjustRightInd w:val="0"/>
        <w:spacing w:after="120"/>
        <w:ind w:left="567" w:hanging="567"/>
        <w:contextualSpacing w:val="0"/>
        <w:rPr>
          <w:lang w:val="en-GB"/>
        </w:rPr>
      </w:pPr>
      <w:r w:rsidRPr="00BD313C">
        <w:rPr>
          <w:b/>
          <w:bCs/>
          <w:lang w:val="en-GB"/>
        </w:rPr>
        <w:t>Changes during implementation.</w:t>
      </w:r>
      <w:r w:rsidR="004624B2" w:rsidRPr="00BD313C">
        <w:rPr>
          <w:lang w:val="en-GB"/>
        </w:rPr>
        <w:t xml:space="preserve"> The </w:t>
      </w:r>
      <w:r w:rsidR="005F75A0">
        <w:rPr>
          <w:lang w:val="en-GB"/>
        </w:rPr>
        <w:t xml:space="preserve">main </w:t>
      </w:r>
      <w:r w:rsidR="004624B2" w:rsidRPr="00BD313C">
        <w:rPr>
          <w:lang w:val="en-GB"/>
        </w:rPr>
        <w:t>changes made included the following:</w:t>
      </w:r>
    </w:p>
    <w:p w:rsidR="004624B2" w:rsidRDefault="00ED0AF5" w:rsidP="00FC6A3A">
      <w:pPr>
        <w:pStyle w:val="ListParagraph"/>
        <w:numPr>
          <w:ilvl w:val="0"/>
          <w:numId w:val="28"/>
        </w:numPr>
        <w:spacing w:after="120"/>
        <w:ind w:left="993" w:hanging="426"/>
        <w:contextualSpacing w:val="0"/>
        <w:rPr>
          <w:lang w:val="en-GB"/>
        </w:rPr>
      </w:pPr>
      <w:r>
        <w:rPr>
          <w:lang w:val="en-GB"/>
        </w:rPr>
        <w:t>T</w:t>
      </w:r>
      <w:r w:rsidRPr="00317CF8">
        <w:rPr>
          <w:lang w:val="en-GB"/>
        </w:rPr>
        <w:t xml:space="preserve">he </w:t>
      </w:r>
      <w:r w:rsidR="004624B2" w:rsidRPr="00317CF8">
        <w:rPr>
          <w:lang w:val="en-GB"/>
        </w:rPr>
        <w:t xml:space="preserve">revision of the </w:t>
      </w:r>
      <w:r w:rsidR="00800D5E">
        <w:rPr>
          <w:lang w:val="en-GB"/>
        </w:rPr>
        <w:t>strategy</w:t>
      </w:r>
      <w:r w:rsidR="005F75A0">
        <w:rPr>
          <w:lang w:val="en-GB"/>
        </w:rPr>
        <w:t>/approach</w:t>
      </w:r>
      <w:r w:rsidR="00800D5E">
        <w:rPr>
          <w:lang w:val="en-GB"/>
        </w:rPr>
        <w:t xml:space="preserve"> for private sector </w:t>
      </w:r>
      <w:r w:rsidR="004624B2" w:rsidRPr="00317CF8">
        <w:rPr>
          <w:lang w:val="en-GB"/>
        </w:rPr>
        <w:t>engagement</w:t>
      </w:r>
      <w:r w:rsidR="00317CF8">
        <w:rPr>
          <w:lang w:val="en-GB"/>
        </w:rPr>
        <w:t xml:space="preserve"> </w:t>
      </w:r>
      <w:r w:rsidR="00A61FF6">
        <w:rPr>
          <w:lang w:val="en-GB"/>
        </w:rPr>
        <w:t xml:space="preserve">in view of little progress in the initial two years </w:t>
      </w:r>
      <w:r w:rsidR="005F75A0">
        <w:rPr>
          <w:lang w:val="en-GB"/>
        </w:rPr>
        <w:t>with the</w:t>
      </w:r>
      <w:r w:rsidR="00800D5E">
        <w:rPr>
          <w:lang w:val="en-GB"/>
        </w:rPr>
        <w:t xml:space="preserve"> partner PSC </w:t>
      </w:r>
      <w:r w:rsidR="005F75A0">
        <w:rPr>
          <w:lang w:val="en-GB"/>
        </w:rPr>
        <w:t xml:space="preserve">identified initially </w:t>
      </w:r>
      <w:r w:rsidR="00800D5E">
        <w:rPr>
          <w:lang w:val="en-GB"/>
        </w:rPr>
        <w:t>(Arab Sudanese Seeds Company, ASSCO)</w:t>
      </w:r>
      <w:r w:rsidR="00317CF8">
        <w:rPr>
          <w:lang w:val="en-GB"/>
        </w:rPr>
        <w:t>.</w:t>
      </w:r>
      <w:r w:rsidR="00800D5E">
        <w:rPr>
          <w:rStyle w:val="FootnoteReference"/>
          <w:lang w:val="en-GB"/>
        </w:rPr>
        <w:footnoteReference w:id="9"/>
      </w:r>
      <w:r w:rsidR="00317CF8">
        <w:rPr>
          <w:lang w:val="en-GB"/>
        </w:rPr>
        <w:t xml:space="preserve"> </w:t>
      </w:r>
      <w:r w:rsidR="00A61FF6">
        <w:rPr>
          <w:lang w:val="en-GB"/>
        </w:rPr>
        <w:t xml:space="preserve">Specifically, some of the restrictions that were not attractive for the private sector </w:t>
      </w:r>
      <w:proofErr w:type="gramStart"/>
      <w:r w:rsidR="00A61FF6">
        <w:rPr>
          <w:lang w:val="en-GB"/>
        </w:rPr>
        <w:t>were removed</w:t>
      </w:r>
      <w:proofErr w:type="gramEnd"/>
      <w:r w:rsidR="00A61FF6">
        <w:rPr>
          <w:lang w:val="en-GB"/>
        </w:rPr>
        <w:t xml:space="preserve">, for example, </w:t>
      </w:r>
      <w:r w:rsidR="00317CF8" w:rsidRPr="00C52C90">
        <w:rPr>
          <w:lang w:val="en-GB"/>
        </w:rPr>
        <w:t>concerning the source of certified seed</w:t>
      </w:r>
      <w:r w:rsidR="00A61FF6">
        <w:rPr>
          <w:lang w:val="en-GB"/>
        </w:rPr>
        <w:t>s for PSCs</w:t>
      </w:r>
      <w:r w:rsidR="00D70001">
        <w:rPr>
          <w:lang w:val="en-GB"/>
        </w:rPr>
        <w:t xml:space="preserve"> and</w:t>
      </w:r>
      <w:r w:rsidR="00317CF8" w:rsidRPr="00C52C90">
        <w:rPr>
          <w:lang w:val="en-GB"/>
        </w:rPr>
        <w:t xml:space="preserve"> how </w:t>
      </w:r>
      <w:r w:rsidR="00A61FF6">
        <w:rPr>
          <w:lang w:val="en-GB"/>
        </w:rPr>
        <w:t>they are</w:t>
      </w:r>
      <w:r w:rsidR="00317CF8" w:rsidRPr="00C52C90">
        <w:rPr>
          <w:lang w:val="en-GB"/>
        </w:rPr>
        <w:t xml:space="preserve"> ev</w:t>
      </w:r>
      <w:r w:rsidR="00317CF8">
        <w:rPr>
          <w:lang w:val="en-GB"/>
        </w:rPr>
        <w:t>entually produced or marketed.</w:t>
      </w:r>
      <w:r w:rsidRPr="00ED0AF5">
        <w:rPr>
          <w:lang w:val="en-GB"/>
        </w:rPr>
        <w:t xml:space="preserve"> </w:t>
      </w:r>
      <w:r w:rsidR="00A61FF6">
        <w:rPr>
          <w:lang w:val="en-GB"/>
        </w:rPr>
        <w:t xml:space="preserve">The project also moved away from offering a guarantee to purchase the seeds from the producers </w:t>
      </w:r>
      <w:r w:rsidR="005F75A0">
        <w:rPr>
          <w:lang w:val="en-GB"/>
        </w:rPr>
        <w:t>and</w:t>
      </w:r>
      <w:r w:rsidR="001208D4">
        <w:rPr>
          <w:lang w:val="en-GB"/>
        </w:rPr>
        <w:t xml:space="preserve"> instead</w:t>
      </w:r>
      <w:r w:rsidR="005F75A0">
        <w:rPr>
          <w:lang w:val="en-GB"/>
        </w:rPr>
        <w:t xml:space="preserve"> shifted </w:t>
      </w:r>
      <w:r w:rsidR="00A61FF6">
        <w:rPr>
          <w:lang w:val="en-GB"/>
        </w:rPr>
        <w:t xml:space="preserve">to facilitating linkages between SGGs, </w:t>
      </w:r>
      <w:r w:rsidR="00FC6A3A">
        <w:rPr>
          <w:lang w:val="en-GB"/>
        </w:rPr>
        <w:t>GPG</w:t>
      </w:r>
      <w:r w:rsidR="00A61FF6">
        <w:rPr>
          <w:lang w:val="en-GB"/>
        </w:rPr>
        <w:t>s</w:t>
      </w:r>
      <w:r w:rsidR="001208D4">
        <w:rPr>
          <w:lang w:val="en-GB"/>
        </w:rPr>
        <w:t>,</w:t>
      </w:r>
      <w:r w:rsidR="00A61FF6">
        <w:rPr>
          <w:lang w:val="en-GB"/>
        </w:rPr>
        <w:t xml:space="preserve"> </w:t>
      </w:r>
      <w:proofErr w:type="gramStart"/>
      <w:r w:rsidR="00A61FF6">
        <w:rPr>
          <w:lang w:val="en-GB"/>
        </w:rPr>
        <w:t>PSCs</w:t>
      </w:r>
      <w:proofErr w:type="gramEnd"/>
      <w:r w:rsidR="00A61FF6">
        <w:rPr>
          <w:lang w:val="en-GB"/>
        </w:rPr>
        <w:t>, input supplie</w:t>
      </w:r>
      <w:r w:rsidR="001208D4">
        <w:rPr>
          <w:lang w:val="en-GB"/>
        </w:rPr>
        <w:t>r</w:t>
      </w:r>
      <w:r w:rsidR="00A61FF6">
        <w:rPr>
          <w:lang w:val="en-GB"/>
        </w:rPr>
        <w:t>s within and outside the project area.</w:t>
      </w:r>
    </w:p>
    <w:p w:rsidR="002B7262" w:rsidRDefault="002B7262" w:rsidP="00502C8B">
      <w:pPr>
        <w:pStyle w:val="ListParagraph"/>
        <w:numPr>
          <w:ilvl w:val="0"/>
          <w:numId w:val="28"/>
        </w:numPr>
        <w:spacing w:after="120"/>
        <w:ind w:left="993" w:hanging="426"/>
        <w:contextualSpacing w:val="0"/>
        <w:rPr>
          <w:lang w:val="en-GB"/>
        </w:rPr>
      </w:pPr>
      <w:r>
        <w:rPr>
          <w:lang w:val="en-GB"/>
        </w:rPr>
        <w:t xml:space="preserve">Slight adjustment of the project objective to include “improved seeds” along certified seeds. </w:t>
      </w:r>
    </w:p>
    <w:p w:rsidR="00A61FF6" w:rsidRPr="00317CF8" w:rsidRDefault="005F75A0" w:rsidP="00502C8B">
      <w:pPr>
        <w:pStyle w:val="ListParagraph"/>
        <w:numPr>
          <w:ilvl w:val="0"/>
          <w:numId w:val="28"/>
        </w:numPr>
        <w:spacing w:after="120"/>
        <w:ind w:left="993" w:hanging="426"/>
        <w:contextualSpacing w:val="0"/>
        <w:rPr>
          <w:lang w:val="en-GB"/>
        </w:rPr>
      </w:pPr>
      <w:r>
        <w:rPr>
          <w:lang w:val="en-GB"/>
        </w:rPr>
        <w:t>I</w:t>
      </w:r>
      <w:r w:rsidR="00736C2E">
        <w:rPr>
          <w:lang w:val="en-GB"/>
        </w:rPr>
        <w:t xml:space="preserve">nclusion of medium size farmers </w:t>
      </w:r>
      <w:r w:rsidR="00427DA4">
        <w:rPr>
          <w:lang w:val="en-GB"/>
        </w:rPr>
        <w:t xml:space="preserve">(four envisaged) </w:t>
      </w:r>
      <w:r w:rsidR="00736C2E">
        <w:rPr>
          <w:lang w:val="en-GB"/>
        </w:rPr>
        <w:t xml:space="preserve">with suitable land and skills for seed growing. </w:t>
      </w:r>
    </w:p>
    <w:p w:rsidR="00C52C90" w:rsidRDefault="00317CF8" w:rsidP="00502C8B">
      <w:pPr>
        <w:pStyle w:val="ListParagraph"/>
        <w:numPr>
          <w:ilvl w:val="0"/>
          <w:numId w:val="28"/>
        </w:numPr>
        <w:spacing w:after="120"/>
        <w:ind w:left="993" w:hanging="426"/>
        <w:contextualSpacing w:val="0"/>
        <w:rPr>
          <w:lang w:val="en-GB"/>
        </w:rPr>
      </w:pPr>
      <w:r>
        <w:rPr>
          <w:lang w:val="en-GB"/>
        </w:rPr>
        <w:t xml:space="preserve">The adjustment of the target </w:t>
      </w:r>
      <w:r w:rsidR="005D4F86" w:rsidRPr="004624B2">
        <w:rPr>
          <w:lang w:val="en-GB"/>
        </w:rPr>
        <w:t>to 69,000 smallholder farmers instead of 108,000.</w:t>
      </w:r>
      <w:r w:rsidR="00736C2E">
        <w:rPr>
          <w:lang w:val="en-GB"/>
        </w:rPr>
        <w:t xml:space="preserve"> This reduction was justified by </w:t>
      </w:r>
      <w:r w:rsidR="00E23945">
        <w:rPr>
          <w:lang w:val="en-GB"/>
        </w:rPr>
        <w:t xml:space="preserve">correcting </w:t>
      </w:r>
      <w:r w:rsidR="00736C2E">
        <w:rPr>
          <w:lang w:val="en-GB"/>
        </w:rPr>
        <w:t>the initial calculation at design inclusive of the 20</w:t>
      </w:r>
      <w:r w:rsidR="00E23945">
        <w:rPr>
          <w:lang w:val="en-GB"/>
        </w:rPr>
        <w:t>1</w:t>
      </w:r>
      <w:r w:rsidR="00736C2E">
        <w:rPr>
          <w:lang w:val="en-GB"/>
        </w:rPr>
        <w:t xml:space="preserve">8 agricultural season, which </w:t>
      </w:r>
      <w:r w:rsidR="00E23945">
        <w:rPr>
          <w:lang w:val="en-GB"/>
        </w:rPr>
        <w:t xml:space="preserve">could not have covered within </w:t>
      </w:r>
      <w:r w:rsidR="00736C2E">
        <w:rPr>
          <w:lang w:val="en-GB"/>
        </w:rPr>
        <w:t xml:space="preserve">the project </w:t>
      </w:r>
      <w:r w:rsidR="00E23945">
        <w:rPr>
          <w:lang w:val="en-GB"/>
        </w:rPr>
        <w:t>period completing in March 2018</w:t>
      </w:r>
      <w:r w:rsidR="00736C2E">
        <w:rPr>
          <w:lang w:val="en-GB"/>
        </w:rPr>
        <w:t>.</w:t>
      </w:r>
      <w:r w:rsidR="005D4F86" w:rsidRPr="004624B2">
        <w:rPr>
          <w:lang w:val="en-GB"/>
        </w:rPr>
        <w:t xml:space="preserve"> </w:t>
      </w:r>
    </w:p>
    <w:p w:rsidR="00317CF8" w:rsidRPr="00317CF8" w:rsidRDefault="00317CF8" w:rsidP="00502C8B">
      <w:pPr>
        <w:pStyle w:val="ListParagraph"/>
        <w:numPr>
          <w:ilvl w:val="0"/>
          <w:numId w:val="28"/>
        </w:numPr>
        <w:spacing w:after="120"/>
        <w:ind w:left="993" w:hanging="426"/>
        <w:contextualSpacing w:val="0"/>
        <w:rPr>
          <w:lang w:val="en-GB"/>
        </w:rPr>
      </w:pPr>
      <w:r w:rsidRPr="00317CF8">
        <w:rPr>
          <w:lang w:val="en-GB"/>
        </w:rPr>
        <w:t xml:space="preserve">The expansion to Um </w:t>
      </w:r>
      <w:proofErr w:type="spellStart"/>
      <w:r w:rsidRPr="00317CF8">
        <w:rPr>
          <w:lang w:val="en-GB"/>
        </w:rPr>
        <w:t>Ruwaba</w:t>
      </w:r>
      <w:proofErr w:type="spellEnd"/>
      <w:r w:rsidRPr="00317CF8">
        <w:rPr>
          <w:lang w:val="en-GB"/>
        </w:rPr>
        <w:t xml:space="preserve"> in North </w:t>
      </w:r>
      <w:proofErr w:type="spellStart"/>
      <w:r w:rsidRPr="00317CF8">
        <w:rPr>
          <w:lang w:val="en-GB"/>
        </w:rPr>
        <w:t>Kordofan</w:t>
      </w:r>
      <w:proofErr w:type="spellEnd"/>
      <w:r w:rsidRPr="00317CF8">
        <w:rPr>
          <w:lang w:val="en-GB"/>
        </w:rPr>
        <w:t xml:space="preserve"> and Rashad in South </w:t>
      </w:r>
      <w:proofErr w:type="spellStart"/>
      <w:r w:rsidRPr="00317CF8">
        <w:rPr>
          <w:lang w:val="en-GB"/>
        </w:rPr>
        <w:t>Kordofan</w:t>
      </w:r>
      <w:proofErr w:type="spellEnd"/>
      <w:r w:rsidRPr="00317CF8">
        <w:rPr>
          <w:lang w:val="en-GB"/>
        </w:rPr>
        <w:t>.</w:t>
      </w:r>
    </w:p>
    <w:p w:rsidR="00760B5C" w:rsidRPr="002B7262" w:rsidRDefault="00F70B47" w:rsidP="00FB7B7F">
      <w:pPr>
        <w:pStyle w:val="ListParagraph"/>
        <w:numPr>
          <w:ilvl w:val="0"/>
          <w:numId w:val="10"/>
        </w:numPr>
        <w:spacing w:after="120"/>
        <w:ind w:left="567" w:hanging="567"/>
        <w:contextualSpacing w:val="0"/>
        <w:rPr>
          <w:lang w:val="en-GB" w:eastAsia="en-GB"/>
        </w:rPr>
      </w:pPr>
      <w:r w:rsidRPr="00317CF8">
        <w:rPr>
          <w:lang w:val="en-GB" w:eastAsia="en-GB"/>
        </w:rPr>
        <w:t xml:space="preserve">The financing agreement </w:t>
      </w:r>
      <w:proofErr w:type="gramStart"/>
      <w:r w:rsidRPr="00317CF8">
        <w:rPr>
          <w:lang w:val="en-GB" w:eastAsia="en-GB"/>
        </w:rPr>
        <w:t>was amended</w:t>
      </w:r>
      <w:proofErr w:type="gramEnd"/>
      <w:r w:rsidRPr="00317CF8">
        <w:rPr>
          <w:lang w:val="en-GB" w:eastAsia="en-GB"/>
        </w:rPr>
        <w:t xml:space="preserve"> in February 2017. </w:t>
      </w:r>
      <w:r w:rsidR="009711B8">
        <w:rPr>
          <w:lang w:val="en-GB" w:eastAsia="en-GB"/>
        </w:rPr>
        <w:t>T</w:t>
      </w:r>
      <w:r w:rsidRPr="00317CF8">
        <w:rPr>
          <w:lang w:val="en-GB" w:eastAsia="en-GB"/>
        </w:rPr>
        <w:t xml:space="preserve">he budget category "Fund" </w:t>
      </w:r>
      <w:proofErr w:type="gramStart"/>
      <w:r w:rsidRPr="00317CF8">
        <w:rPr>
          <w:lang w:val="en-GB" w:eastAsia="en-GB"/>
        </w:rPr>
        <w:t>was reduced</w:t>
      </w:r>
      <w:proofErr w:type="gramEnd"/>
      <w:r w:rsidRPr="00317CF8">
        <w:rPr>
          <w:lang w:val="en-GB" w:eastAsia="en-GB"/>
        </w:rPr>
        <w:t xml:space="preserve"> by 78 per cent due to the discontinuation of the grant programme to </w:t>
      </w:r>
      <w:r w:rsidR="00FB7B7F">
        <w:rPr>
          <w:lang w:val="en-GB" w:eastAsia="en-GB"/>
        </w:rPr>
        <w:t>PSCs</w:t>
      </w:r>
      <w:r w:rsidRPr="00317CF8">
        <w:rPr>
          <w:lang w:val="en-GB" w:eastAsia="en-GB"/>
        </w:rPr>
        <w:t xml:space="preserve">. The contractual services category </w:t>
      </w:r>
      <w:proofErr w:type="gramStart"/>
      <w:r w:rsidRPr="00317CF8">
        <w:rPr>
          <w:lang w:val="en-GB" w:eastAsia="en-GB"/>
        </w:rPr>
        <w:t>was increased</w:t>
      </w:r>
      <w:proofErr w:type="gramEnd"/>
      <w:r w:rsidRPr="00317CF8">
        <w:rPr>
          <w:lang w:val="en-GB" w:eastAsia="en-GB"/>
        </w:rPr>
        <w:t xml:space="preserve"> by 56 per cent to cover </w:t>
      </w:r>
      <w:r w:rsidR="009711B8">
        <w:rPr>
          <w:lang w:val="en-GB" w:eastAsia="en-GB"/>
        </w:rPr>
        <w:t xml:space="preserve">more </w:t>
      </w:r>
      <w:r w:rsidRPr="00317CF8">
        <w:rPr>
          <w:lang w:val="en-GB" w:eastAsia="en-GB"/>
        </w:rPr>
        <w:t>knowledge management</w:t>
      </w:r>
      <w:r w:rsidR="009711B8">
        <w:rPr>
          <w:lang w:val="en-GB" w:eastAsia="en-GB"/>
        </w:rPr>
        <w:t xml:space="preserve"> activities</w:t>
      </w:r>
      <w:r w:rsidRPr="00317CF8">
        <w:rPr>
          <w:lang w:val="en-GB" w:eastAsia="en-GB"/>
        </w:rPr>
        <w:t xml:space="preserve">. </w:t>
      </w:r>
    </w:p>
    <w:p w:rsidR="00824A9F" w:rsidRPr="00B37927" w:rsidRDefault="009536D8" w:rsidP="00483355">
      <w:pPr>
        <w:pStyle w:val="ListParagraph"/>
        <w:numPr>
          <w:ilvl w:val="0"/>
          <w:numId w:val="10"/>
        </w:numPr>
        <w:spacing w:after="120"/>
        <w:ind w:left="567" w:hanging="567"/>
        <w:contextualSpacing w:val="0"/>
        <w:rPr>
          <w:lang w:val="en-GB"/>
        </w:rPr>
      </w:pPr>
      <w:r>
        <w:rPr>
          <w:b/>
          <w:bCs/>
        </w:rPr>
        <w:t>Delivery of outputs.</w:t>
      </w:r>
      <w:r>
        <w:t xml:space="preserve"> </w:t>
      </w:r>
      <w:r w:rsidR="00742EE4">
        <w:rPr>
          <w:lang w:val="en-GB"/>
        </w:rPr>
        <w:t xml:space="preserve">Annex IV presents </w:t>
      </w:r>
      <w:r w:rsidR="0015513F">
        <w:rPr>
          <w:lang w:val="en-GB"/>
        </w:rPr>
        <w:t xml:space="preserve">physical progress </w:t>
      </w:r>
      <w:r w:rsidR="00FA449B" w:rsidRPr="00B37927">
        <w:rPr>
          <w:lang w:val="en-GB"/>
        </w:rPr>
        <w:t>reported in the PCR.</w:t>
      </w:r>
      <w:r w:rsidR="007A4FF2">
        <w:rPr>
          <w:lang w:val="en-GB"/>
        </w:rPr>
        <w:t xml:space="preserve"> </w:t>
      </w:r>
      <w:r w:rsidR="00582ED5">
        <w:rPr>
          <w:lang w:val="en-GB"/>
        </w:rPr>
        <w:t>Many entries are for the number of workshops, training courses or technical assistance/consultant inputs, which do not really convey the sense of achievement levels</w:t>
      </w:r>
      <w:r w:rsidR="00B41878">
        <w:rPr>
          <w:lang w:val="en-GB"/>
        </w:rPr>
        <w:t>.</w:t>
      </w:r>
      <w:r w:rsidR="00C34064">
        <w:rPr>
          <w:lang w:val="en-GB"/>
        </w:rPr>
        <w:t xml:space="preserve"> </w:t>
      </w:r>
      <w:proofErr w:type="gramStart"/>
      <w:r w:rsidR="00C34064">
        <w:rPr>
          <w:lang w:val="en-GB"/>
        </w:rPr>
        <w:t>Still, the following points can be highlighted</w:t>
      </w:r>
      <w:r w:rsidR="00B41878">
        <w:rPr>
          <w:lang w:val="en-GB"/>
        </w:rPr>
        <w:t>:</w:t>
      </w:r>
      <w:r w:rsidR="00C34064">
        <w:rPr>
          <w:lang w:val="en-GB"/>
        </w:rPr>
        <w:t xml:space="preserve"> (</w:t>
      </w:r>
      <w:proofErr w:type="spellStart"/>
      <w:r w:rsidR="00C34064">
        <w:rPr>
          <w:lang w:val="en-GB"/>
        </w:rPr>
        <w:t>i</w:t>
      </w:r>
      <w:proofErr w:type="spellEnd"/>
      <w:r w:rsidR="00C34064">
        <w:rPr>
          <w:lang w:val="en-GB"/>
        </w:rPr>
        <w:t>) in terms of the number of SGGs and farmers accessing advisory services for production, the achievement was close to 100 per cent of the targets (</w:t>
      </w:r>
      <w:r w:rsidR="00502C8B">
        <w:rPr>
          <w:lang w:val="en-GB"/>
        </w:rPr>
        <w:t>al</w:t>
      </w:r>
      <w:r w:rsidR="00C34064" w:rsidRPr="00502C8B">
        <w:rPr>
          <w:lang w:val="en-GB"/>
        </w:rPr>
        <w:t xml:space="preserve">though </w:t>
      </w:r>
      <w:r w:rsidR="0032385A">
        <w:rPr>
          <w:lang w:val="en-GB"/>
        </w:rPr>
        <w:t>high drop-out rate of</w:t>
      </w:r>
      <w:r w:rsidR="00502C8B">
        <w:rPr>
          <w:lang w:val="en-GB"/>
        </w:rPr>
        <w:t xml:space="preserve"> seed growers</w:t>
      </w:r>
      <w:r w:rsidR="00C34064" w:rsidRPr="00502C8B">
        <w:rPr>
          <w:lang w:val="en-GB"/>
        </w:rPr>
        <w:t xml:space="preserve"> was an issue as discussed below); (</w:t>
      </w:r>
      <w:r w:rsidR="00C34064">
        <w:rPr>
          <w:lang w:val="en-GB"/>
        </w:rPr>
        <w:t xml:space="preserve">ii) low achievement rates against the targets were </w:t>
      </w:r>
      <w:r w:rsidR="00386EF5">
        <w:rPr>
          <w:lang w:val="en-GB"/>
        </w:rPr>
        <w:t>recorded</w:t>
      </w:r>
      <w:r w:rsidR="00C34064">
        <w:rPr>
          <w:lang w:val="en-GB"/>
        </w:rPr>
        <w:t xml:space="preserve"> for outputs related to registered/certified seeds (whether production or their use), </w:t>
      </w:r>
      <w:r w:rsidR="00386EF5">
        <w:rPr>
          <w:lang w:val="en-GB"/>
        </w:rPr>
        <w:t xml:space="preserve">reflecting the shift of focus </w:t>
      </w:r>
      <w:r w:rsidR="00C34064">
        <w:rPr>
          <w:lang w:val="en-GB"/>
        </w:rPr>
        <w:t>to improved seeds (and not strictly on certified seeds)</w:t>
      </w:r>
      <w:r w:rsidR="00483355">
        <w:rPr>
          <w:lang w:val="en-GB"/>
        </w:rPr>
        <w:t>;</w:t>
      </w:r>
      <w:r w:rsidR="0032385A">
        <w:rPr>
          <w:rStyle w:val="FootnoteReference"/>
          <w:lang w:val="en-GB"/>
        </w:rPr>
        <w:footnoteReference w:id="10"/>
      </w:r>
      <w:r w:rsidR="00C34064">
        <w:rPr>
          <w:lang w:val="en-GB"/>
        </w:rPr>
        <w:t xml:space="preserve"> and (iii) outputs related to financial services and insurance were also lower than the targets, reflecting the challenges faced in these services for </w:t>
      </w:r>
      <w:proofErr w:type="spellStart"/>
      <w:r w:rsidR="00C34064">
        <w:rPr>
          <w:lang w:val="en-GB"/>
        </w:rPr>
        <w:t>rainfed</w:t>
      </w:r>
      <w:proofErr w:type="spellEnd"/>
      <w:r w:rsidR="00C34064">
        <w:rPr>
          <w:lang w:val="en-GB"/>
        </w:rPr>
        <w:t xml:space="preserve"> agriculture.</w:t>
      </w:r>
      <w:proofErr w:type="gramEnd"/>
      <w:r w:rsidR="00C34064" w:rsidRPr="00327993" w:rsidDel="00C34064">
        <w:rPr>
          <w:lang w:val="en-GB"/>
        </w:rPr>
        <w:t xml:space="preserve"> </w:t>
      </w:r>
    </w:p>
    <w:p w:rsidR="002639D7" w:rsidRDefault="002639D7" w:rsidP="00BD5F4F">
      <w:pPr>
        <w:pStyle w:val="Heading1"/>
        <w:tabs>
          <w:tab w:val="clear" w:pos="278"/>
          <w:tab w:val="num" w:pos="567"/>
        </w:tabs>
        <w:jc w:val="both"/>
      </w:pPr>
      <w:bookmarkStart w:id="3" w:name="_Toc323554917"/>
      <w:bookmarkStart w:id="4" w:name="_Toc323557626"/>
      <w:bookmarkStart w:id="5" w:name="_Toc342056700"/>
      <w:r>
        <w:t>Review of findings</w:t>
      </w:r>
      <w:bookmarkEnd w:id="3"/>
      <w:bookmarkEnd w:id="4"/>
      <w:bookmarkEnd w:id="5"/>
    </w:p>
    <w:p w:rsidR="004139C4" w:rsidRDefault="002C19B8" w:rsidP="00BD5F4F">
      <w:pPr>
        <w:pStyle w:val="Heading2"/>
        <w:jc w:val="both"/>
      </w:pPr>
      <w:bookmarkStart w:id="6" w:name="_Toc323554920"/>
      <w:bookmarkStart w:id="7" w:name="_Toc323557629"/>
      <w:bookmarkStart w:id="8" w:name="_Toc342056703"/>
      <w:r>
        <w:t>Core criteria</w:t>
      </w:r>
    </w:p>
    <w:p w:rsidR="004139C4" w:rsidRPr="007F2A98" w:rsidRDefault="004139C4" w:rsidP="00BD5F4F">
      <w:pPr>
        <w:pStyle w:val="ListParagraph"/>
        <w:spacing w:after="40"/>
        <w:ind w:left="567"/>
        <w:contextualSpacing w:val="0"/>
        <w:jc w:val="both"/>
        <w:rPr>
          <w:b/>
          <w:bCs/>
          <w:sz w:val="22"/>
          <w:szCs w:val="22"/>
        </w:rPr>
      </w:pPr>
      <w:r w:rsidRPr="007F2A98">
        <w:rPr>
          <w:b/>
          <w:bCs/>
          <w:sz w:val="22"/>
          <w:szCs w:val="22"/>
        </w:rPr>
        <w:t>Relevance</w:t>
      </w:r>
    </w:p>
    <w:p w:rsidR="00FD3CB8" w:rsidRDefault="00FF62A3" w:rsidP="00386EF5">
      <w:pPr>
        <w:pStyle w:val="ListParagraph"/>
        <w:numPr>
          <w:ilvl w:val="0"/>
          <w:numId w:val="10"/>
        </w:numPr>
        <w:spacing w:after="120"/>
        <w:ind w:left="567" w:hanging="567"/>
        <w:contextualSpacing w:val="0"/>
        <w:rPr>
          <w:lang w:val="en-GB"/>
        </w:rPr>
      </w:pPr>
      <w:r>
        <w:t xml:space="preserve">SDP </w:t>
      </w:r>
      <w:proofErr w:type="gramStart"/>
      <w:r w:rsidR="00724B82" w:rsidRPr="00875E40">
        <w:rPr>
          <w:lang w:val="en-GB"/>
        </w:rPr>
        <w:t>wa</w:t>
      </w:r>
      <w:r w:rsidRPr="00875E40">
        <w:rPr>
          <w:lang w:val="en-GB"/>
        </w:rPr>
        <w:t>s aligned</w:t>
      </w:r>
      <w:proofErr w:type="gramEnd"/>
      <w:r w:rsidRPr="00875E40">
        <w:rPr>
          <w:lang w:val="en-GB"/>
        </w:rPr>
        <w:t xml:space="preserve"> with </w:t>
      </w:r>
      <w:r w:rsidR="00931850" w:rsidRPr="00875E40">
        <w:rPr>
          <w:lang w:val="en-GB"/>
        </w:rPr>
        <w:t xml:space="preserve">the Agriculture Revival Programme </w:t>
      </w:r>
      <w:r w:rsidR="005F75A0">
        <w:rPr>
          <w:lang w:val="en-GB"/>
        </w:rPr>
        <w:t xml:space="preserve">of the Government </w:t>
      </w:r>
      <w:r w:rsidR="002142DA">
        <w:rPr>
          <w:lang w:val="en-GB"/>
        </w:rPr>
        <w:t xml:space="preserve">in terms </w:t>
      </w:r>
      <w:r w:rsidR="00931850" w:rsidRPr="00875E40">
        <w:rPr>
          <w:lang w:val="en-GB"/>
        </w:rPr>
        <w:t xml:space="preserve">of </w:t>
      </w:r>
      <w:r w:rsidR="00875E40" w:rsidRPr="00875E40">
        <w:rPr>
          <w:lang w:val="en-GB"/>
        </w:rPr>
        <w:t xml:space="preserve">improved crop </w:t>
      </w:r>
      <w:r w:rsidR="00724B82" w:rsidRPr="00875E40">
        <w:rPr>
          <w:lang w:val="en-GB"/>
        </w:rPr>
        <w:t>productivity</w:t>
      </w:r>
      <w:r w:rsidRPr="00875E40">
        <w:rPr>
          <w:lang w:val="en-GB"/>
        </w:rPr>
        <w:t xml:space="preserve">. It was aligned with the provisions of the Seed Act 2010, particularly in developing the capacity of the </w:t>
      </w:r>
      <w:r w:rsidR="004E2D1E">
        <w:rPr>
          <w:lang w:val="en-GB"/>
        </w:rPr>
        <w:t>Federal</w:t>
      </w:r>
      <w:r w:rsidR="004E2D1E" w:rsidRPr="00875E40">
        <w:rPr>
          <w:lang w:val="en-GB"/>
        </w:rPr>
        <w:t xml:space="preserve"> </w:t>
      </w:r>
      <w:r w:rsidRPr="00875E40">
        <w:rPr>
          <w:lang w:val="en-GB"/>
        </w:rPr>
        <w:t>Seed Administration to play its certification an</w:t>
      </w:r>
      <w:r w:rsidR="00724B82" w:rsidRPr="00875E40">
        <w:rPr>
          <w:lang w:val="en-GB"/>
        </w:rPr>
        <w:t xml:space="preserve">d inspection roles. </w:t>
      </w:r>
      <w:r w:rsidR="0035241C" w:rsidRPr="00875E40">
        <w:rPr>
          <w:lang w:val="en-GB"/>
        </w:rPr>
        <w:t>SDP</w:t>
      </w:r>
      <w:r w:rsidR="00724B82" w:rsidRPr="00875E40">
        <w:rPr>
          <w:lang w:val="en-GB"/>
        </w:rPr>
        <w:t xml:space="preserve"> was </w:t>
      </w:r>
      <w:r w:rsidR="002142DA">
        <w:rPr>
          <w:lang w:val="en-GB"/>
        </w:rPr>
        <w:t>also</w:t>
      </w:r>
      <w:r w:rsidR="00724B82" w:rsidRPr="00875E40">
        <w:rPr>
          <w:lang w:val="en-GB"/>
        </w:rPr>
        <w:t xml:space="preserve"> in line with the</w:t>
      </w:r>
      <w:r w:rsidRPr="00875E40">
        <w:rPr>
          <w:lang w:val="en-GB"/>
        </w:rPr>
        <w:t xml:space="preserve"> decision of the Ministry of Finance and National Economy to phase out the free distribution of certified seeds given the ineffectiveness of such an operation</w:t>
      </w:r>
      <w:r w:rsidR="00DE0D9B" w:rsidRPr="00875E40">
        <w:rPr>
          <w:lang w:val="en-GB"/>
        </w:rPr>
        <w:t xml:space="preserve"> and support instead the develop</w:t>
      </w:r>
      <w:r w:rsidR="00483355">
        <w:rPr>
          <w:lang w:val="en-GB"/>
        </w:rPr>
        <w:t>ment of a viable private sector-</w:t>
      </w:r>
      <w:r w:rsidR="00DE0D9B" w:rsidRPr="00875E40">
        <w:rPr>
          <w:lang w:val="en-GB"/>
        </w:rPr>
        <w:t>led seed industry</w:t>
      </w:r>
      <w:r w:rsidRPr="00875E40">
        <w:rPr>
          <w:lang w:val="en-GB"/>
        </w:rPr>
        <w:t>.</w:t>
      </w:r>
      <w:r w:rsidR="00875E40" w:rsidRPr="00875E40">
        <w:rPr>
          <w:lang w:val="en-GB"/>
        </w:rPr>
        <w:t xml:space="preserve"> </w:t>
      </w:r>
      <w:r w:rsidRPr="00875E40">
        <w:rPr>
          <w:lang w:val="en-GB"/>
        </w:rPr>
        <w:t xml:space="preserve">The project </w:t>
      </w:r>
      <w:r w:rsidR="00875E40" w:rsidRPr="00875E40">
        <w:rPr>
          <w:lang w:val="en-GB"/>
        </w:rPr>
        <w:t>was</w:t>
      </w:r>
      <w:r w:rsidRPr="00875E40">
        <w:rPr>
          <w:lang w:val="en-GB"/>
        </w:rPr>
        <w:t xml:space="preserve"> in line with the </w:t>
      </w:r>
      <w:r w:rsidR="009711B8">
        <w:rPr>
          <w:lang w:val="en-GB"/>
        </w:rPr>
        <w:t xml:space="preserve">IFAD’s </w:t>
      </w:r>
      <w:r w:rsidRPr="00875E40">
        <w:rPr>
          <w:lang w:val="en-GB"/>
        </w:rPr>
        <w:t xml:space="preserve">country strategic opportunities programme 2009-2012 mainly in increasing access of poor rural people to agricultural services. </w:t>
      </w:r>
      <w:r w:rsidR="00724B82" w:rsidRPr="00875E40">
        <w:rPr>
          <w:lang w:val="en-GB"/>
        </w:rPr>
        <w:t xml:space="preserve">It </w:t>
      </w:r>
      <w:proofErr w:type="gramStart"/>
      <w:r w:rsidR="005F75A0">
        <w:rPr>
          <w:lang w:val="en-GB"/>
        </w:rPr>
        <w:t>was related</w:t>
      </w:r>
      <w:proofErr w:type="gramEnd"/>
      <w:r w:rsidR="00724B82" w:rsidRPr="00875E40">
        <w:rPr>
          <w:lang w:val="en-GB"/>
        </w:rPr>
        <w:t xml:space="preserve"> to the </w:t>
      </w:r>
      <w:r w:rsidRPr="00875E40">
        <w:rPr>
          <w:lang w:val="en-GB"/>
        </w:rPr>
        <w:t>second objective of the IFAD Strategic Framework 2011-2015 in enabling access for poor rural women and men to input</w:t>
      </w:r>
      <w:r w:rsidR="0015513F">
        <w:rPr>
          <w:lang w:val="en-GB"/>
        </w:rPr>
        <w:t>s and</w:t>
      </w:r>
      <w:r w:rsidRPr="00875E40">
        <w:rPr>
          <w:lang w:val="en-GB"/>
        </w:rPr>
        <w:t xml:space="preserve"> services such as certified</w:t>
      </w:r>
      <w:r w:rsidR="0015513F">
        <w:rPr>
          <w:lang w:val="en-GB"/>
        </w:rPr>
        <w:t>/improved</w:t>
      </w:r>
      <w:r w:rsidRPr="00875E40">
        <w:rPr>
          <w:lang w:val="en-GB"/>
        </w:rPr>
        <w:t xml:space="preserve"> seeds to </w:t>
      </w:r>
      <w:r w:rsidR="0015513F">
        <w:rPr>
          <w:lang w:val="en-GB"/>
        </w:rPr>
        <w:t>increase</w:t>
      </w:r>
      <w:r w:rsidRPr="00875E40">
        <w:rPr>
          <w:lang w:val="en-GB"/>
        </w:rPr>
        <w:t xml:space="preserve"> crop </w:t>
      </w:r>
      <w:r w:rsidR="004C01A7" w:rsidRPr="00875E40">
        <w:rPr>
          <w:lang w:val="en-GB"/>
        </w:rPr>
        <w:t>productivity</w:t>
      </w:r>
      <w:r w:rsidRPr="00875E40">
        <w:rPr>
          <w:lang w:val="en-GB"/>
        </w:rPr>
        <w:t xml:space="preserve"> and build resilience to drought.</w:t>
      </w:r>
      <w:r w:rsidRPr="00875E40">
        <w:rPr>
          <w:highlight w:val="yellow"/>
          <w:lang w:val="en-GB"/>
        </w:rPr>
        <w:t xml:space="preserve"> </w:t>
      </w:r>
    </w:p>
    <w:p w:rsidR="008E3357" w:rsidRPr="008E3357" w:rsidRDefault="00FF62A3" w:rsidP="0032385A">
      <w:pPr>
        <w:pStyle w:val="ListParagraph"/>
        <w:numPr>
          <w:ilvl w:val="0"/>
          <w:numId w:val="10"/>
        </w:numPr>
        <w:spacing w:after="120"/>
        <w:ind w:left="567" w:hanging="567"/>
        <w:contextualSpacing w:val="0"/>
        <w:rPr>
          <w:lang w:val="en-GB"/>
        </w:rPr>
      </w:pPr>
      <w:r w:rsidRPr="00FD3CB8">
        <w:rPr>
          <w:b/>
          <w:bCs/>
          <w:lang w:val="en-GB"/>
        </w:rPr>
        <w:t xml:space="preserve">Project design. </w:t>
      </w:r>
      <w:r w:rsidR="00FD0D2E" w:rsidRPr="00FD3CB8">
        <w:rPr>
          <w:lang w:val="en-GB"/>
        </w:rPr>
        <w:t xml:space="preserve">The design was relevant </w:t>
      </w:r>
      <w:r w:rsidR="00386EF5">
        <w:rPr>
          <w:lang w:val="en-GB"/>
        </w:rPr>
        <w:t xml:space="preserve">overall </w:t>
      </w:r>
      <w:r w:rsidR="00FD0D2E" w:rsidRPr="00FD3CB8">
        <w:rPr>
          <w:lang w:val="en-GB"/>
        </w:rPr>
        <w:t xml:space="preserve">and </w:t>
      </w:r>
      <w:r w:rsidR="00FD0D2E" w:rsidRPr="00FA7C12">
        <w:t>address</w:t>
      </w:r>
      <w:r w:rsidR="00FD0D2E">
        <w:t>ed</w:t>
      </w:r>
      <w:r w:rsidR="00FD0D2E" w:rsidRPr="00FA7C12">
        <w:t xml:space="preserve"> the main constraints hindering the development of the seed industry</w:t>
      </w:r>
      <w:r w:rsidR="0015513F">
        <w:t xml:space="preserve"> and</w:t>
      </w:r>
      <w:r w:rsidR="00FD0D2E" w:rsidRPr="00114500">
        <w:t xml:space="preserve"> limited access </w:t>
      </w:r>
      <w:r w:rsidR="0015513F">
        <w:t xml:space="preserve">by smallholder farmers </w:t>
      </w:r>
      <w:r w:rsidR="00FD0D2E" w:rsidRPr="00114500">
        <w:t>to inputs, assets and services</w:t>
      </w:r>
      <w:r w:rsidR="00FD0D2E">
        <w:t>.</w:t>
      </w:r>
      <w:r w:rsidR="00E53B8E">
        <w:t xml:space="preserve"> </w:t>
      </w:r>
      <w:r w:rsidR="00A579EC">
        <w:t xml:space="preserve">The key approach proposed in the design centred around a </w:t>
      </w:r>
      <w:r w:rsidR="00FD0D2E">
        <w:t>partnership</w:t>
      </w:r>
      <w:r w:rsidR="007232EA">
        <w:t xml:space="preserve"> between private co</w:t>
      </w:r>
      <w:r w:rsidR="00FD3CB8">
        <w:t>mpanies, farmers and the public</w:t>
      </w:r>
      <w:r w:rsidR="002142DA">
        <w:t xml:space="preserve"> </w:t>
      </w:r>
      <w:r w:rsidR="007232EA">
        <w:t xml:space="preserve">sector </w:t>
      </w:r>
      <w:r w:rsidR="007E204D">
        <w:t xml:space="preserve">that would ensure a sustainable increase in the production of </w:t>
      </w:r>
      <w:r w:rsidR="00386EF5">
        <w:t xml:space="preserve">certified (and improved) </w:t>
      </w:r>
      <w:r w:rsidR="007E204D">
        <w:t>seeds</w:t>
      </w:r>
      <w:r w:rsidR="0015513F">
        <w:t xml:space="preserve"> and smallholder farmers’ access to better quality seeds</w:t>
      </w:r>
      <w:r w:rsidR="007232EA">
        <w:t xml:space="preserve">. </w:t>
      </w:r>
      <w:proofErr w:type="gramStart"/>
      <w:r w:rsidR="00E53B8E">
        <w:t xml:space="preserve">The </w:t>
      </w:r>
      <w:r w:rsidR="00E53B8E" w:rsidRPr="008E3357">
        <w:t xml:space="preserve">components </w:t>
      </w:r>
      <w:r w:rsidR="00A579EC" w:rsidRPr="008E3357">
        <w:t>we</w:t>
      </w:r>
      <w:r w:rsidR="007232EA" w:rsidRPr="008E3357">
        <w:t>re appropriate, intervening</w:t>
      </w:r>
      <w:r w:rsidR="00A91FB6" w:rsidRPr="008E3357">
        <w:t xml:space="preserve"> at </w:t>
      </w:r>
      <w:r w:rsidR="007232EA" w:rsidRPr="008E3357">
        <w:t>related</w:t>
      </w:r>
      <w:r w:rsidR="00A91FB6" w:rsidRPr="008E3357">
        <w:t xml:space="preserve"> levels: (</w:t>
      </w:r>
      <w:proofErr w:type="spellStart"/>
      <w:r w:rsidR="00A579EC" w:rsidRPr="008E3357">
        <w:t>i</w:t>
      </w:r>
      <w:proofErr w:type="spellEnd"/>
      <w:r w:rsidR="00A91FB6" w:rsidRPr="008E3357">
        <w:t xml:space="preserve">) at policy and institutional level to provide the seed industry with a regulatory framework and reinforce the capacity of the </w:t>
      </w:r>
      <w:r w:rsidR="004E2D1E" w:rsidRPr="008E3357">
        <w:rPr>
          <w:lang w:val="en-GB"/>
        </w:rPr>
        <w:t>FSA</w:t>
      </w:r>
      <w:r w:rsidR="00A91FB6" w:rsidRPr="008E3357">
        <w:rPr>
          <w:lang w:val="en-GB"/>
        </w:rPr>
        <w:t xml:space="preserve"> to effectively </w:t>
      </w:r>
      <w:r w:rsidR="007232EA" w:rsidRPr="008E3357">
        <w:rPr>
          <w:lang w:val="en-GB"/>
        </w:rPr>
        <w:t>carry its tasks related to the inspection and control of seeds; (</w:t>
      </w:r>
      <w:r w:rsidR="00A579EC" w:rsidRPr="008E3357">
        <w:rPr>
          <w:lang w:val="en-GB"/>
        </w:rPr>
        <w:t>ii</w:t>
      </w:r>
      <w:r w:rsidR="007232EA" w:rsidRPr="008E3357">
        <w:rPr>
          <w:lang w:val="en-GB"/>
        </w:rPr>
        <w:t xml:space="preserve">) at the </w:t>
      </w:r>
      <w:r w:rsidR="0032385A">
        <w:rPr>
          <w:lang w:val="en-GB"/>
        </w:rPr>
        <w:t xml:space="preserve">level of seed </w:t>
      </w:r>
      <w:r w:rsidR="007232EA" w:rsidRPr="008E3357">
        <w:rPr>
          <w:lang w:val="en-GB"/>
        </w:rPr>
        <w:t xml:space="preserve">production in order to increase the supply of quality seeds; and (iii) at </w:t>
      </w:r>
      <w:r w:rsidR="00FD0D2E" w:rsidRPr="008E3357">
        <w:rPr>
          <w:lang w:val="en-GB"/>
        </w:rPr>
        <w:t>delivery</w:t>
      </w:r>
      <w:r w:rsidR="007232EA" w:rsidRPr="008E3357">
        <w:rPr>
          <w:lang w:val="en-GB"/>
        </w:rPr>
        <w:t xml:space="preserve"> level to </w:t>
      </w:r>
      <w:r w:rsidR="00CF72B4" w:rsidRPr="008E3357">
        <w:rPr>
          <w:lang w:val="en-GB"/>
        </w:rPr>
        <w:t>support the access</w:t>
      </w:r>
      <w:r w:rsidR="00FD0D2E" w:rsidRPr="008E3357">
        <w:rPr>
          <w:lang w:val="en-GB"/>
        </w:rPr>
        <w:t xml:space="preserve"> </w:t>
      </w:r>
      <w:r w:rsidR="0032385A">
        <w:rPr>
          <w:lang w:val="en-GB"/>
        </w:rPr>
        <w:t xml:space="preserve">to and use </w:t>
      </w:r>
      <w:r w:rsidR="00FD0D2E" w:rsidRPr="008E3357">
        <w:rPr>
          <w:lang w:val="en-GB"/>
        </w:rPr>
        <w:t xml:space="preserve">of </w:t>
      </w:r>
      <w:r w:rsidR="007232EA" w:rsidRPr="008E3357">
        <w:rPr>
          <w:lang w:val="en-GB"/>
        </w:rPr>
        <w:t>certified</w:t>
      </w:r>
      <w:r w:rsidR="0032385A">
        <w:rPr>
          <w:lang w:val="en-GB"/>
        </w:rPr>
        <w:t>/improv</w:t>
      </w:r>
      <w:r w:rsidR="000C35DE">
        <w:rPr>
          <w:lang w:val="en-GB"/>
        </w:rPr>
        <w:t>e</w:t>
      </w:r>
      <w:r w:rsidR="0032385A">
        <w:rPr>
          <w:lang w:val="en-GB"/>
        </w:rPr>
        <w:t>d</w:t>
      </w:r>
      <w:r w:rsidR="007232EA" w:rsidRPr="008E3357">
        <w:rPr>
          <w:lang w:val="en-GB"/>
        </w:rPr>
        <w:t xml:space="preserve"> seeds</w:t>
      </w:r>
      <w:r w:rsidR="00A91FB6" w:rsidRPr="008E3357">
        <w:rPr>
          <w:lang w:val="en-GB"/>
        </w:rPr>
        <w:t>.</w:t>
      </w:r>
      <w:proofErr w:type="gramEnd"/>
      <w:r w:rsidR="007232EA" w:rsidRPr="008E3357">
        <w:rPr>
          <w:lang w:val="en-GB"/>
        </w:rPr>
        <w:t xml:space="preserve"> </w:t>
      </w:r>
    </w:p>
    <w:p w:rsidR="008E3357" w:rsidRPr="008E3357" w:rsidRDefault="00E27616" w:rsidP="00FB7B7F">
      <w:pPr>
        <w:pStyle w:val="ListParagraph"/>
        <w:numPr>
          <w:ilvl w:val="0"/>
          <w:numId w:val="10"/>
        </w:numPr>
        <w:spacing w:after="120"/>
        <w:ind w:left="567" w:hanging="567"/>
        <w:contextualSpacing w:val="0"/>
      </w:pPr>
      <w:r w:rsidRPr="008E3357">
        <w:rPr>
          <w:lang w:val="en-GB"/>
        </w:rPr>
        <w:t>However, t</w:t>
      </w:r>
      <w:r w:rsidR="009952E5" w:rsidRPr="008E3357">
        <w:rPr>
          <w:lang w:val="en-GB"/>
        </w:rPr>
        <w:t xml:space="preserve">he </w:t>
      </w:r>
      <w:r w:rsidRPr="008E3357">
        <w:rPr>
          <w:lang w:val="en-GB"/>
        </w:rPr>
        <w:t xml:space="preserve">initial </w:t>
      </w:r>
      <w:r w:rsidR="009952E5" w:rsidRPr="008E3357">
        <w:rPr>
          <w:lang w:val="en-GB"/>
        </w:rPr>
        <w:t xml:space="preserve">private sector engagement strategy </w:t>
      </w:r>
      <w:r w:rsidR="00FD3CB8" w:rsidRPr="008E3357">
        <w:rPr>
          <w:lang w:val="en-GB"/>
        </w:rPr>
        <w:t xml:space="preserve">was </w:t>
      </w:r>
      <w:r w:rsidRPr="008E3357">
        <w:rPr>
          <w:lang w:val="en-GB"/>
        </w:rPr>
        <w:t>not appropriate</w:t>
      </w:r>
      <w:r w:rsidR="007D53FD" w:rsidRPr="008E3357">
        <w:rPr>
          <w:lang w:val="en-GB"/>
        </w:rPr>
        <w:t>. The private company (</w:t>
      </w:r>
      <w:r w:rsidR="007D53FD" w:rsidRPr="008E3357">
        <w:t xml:space="preserve">ASSCO) was restricted to use ARC-registered seeds while it had own registered seeds. Furthermore, SDP guaranteeing the purchase of seeds from the producers </w:t>
      </w:r>
      <w:r w:rsidR="005F1C3C" w:rsidRPr="008E3357">
        <w:t>w</w:t>
      </w:r>
      <w:r w:rsidR="007D53FD" w:rsidRPr="008E3357">
        <w:t>as a disincentive for the establishment of a sustainable private sector-led seeds industry.</w:t>
      </w:r>
      <w:r w:rsidR="00C91F21">
        <w:rPr>
          <w:rStyle w:val="FootnoteReference"/>
        </w:rPr>
        <w:footnoteReference w:id="11"/>
      </w:r>
      <w:r w:rsidR="00AE7DB8" w:rsidRPr="008E3357">
        <w:t xml:space="preserve"> </w:t>
      </w:r>
      <w:r w:rsidR="005F1C3C" w:rsidRPr="00EF0935">
        <w:t>T</w:t>
      </w:r>
      <w:r w:rsidR="00CC1B2B" w:rsidRPr="00EF0935">
        <w:t>hree</w:t>
      </w:r>
      <w:r w:rsidR="00AE7DB8" w:rsidRPr="00EF0935">
        <w:rPr>
          <w:lang w:val="en-GB"/>
        </w:rPr>
        <w:t xml:space="preserve"> of the </w:t>
      </w:r>
      <w:r w:rsidR="00CC1B2B" w:rsidRPr="00EF0935">
        <w:rPr>
          <w:lang w:val="en-GB"/>
        </w:rPr>
        <w:t xml:space="preserve">four </w:t>
      </w:r>
      <w:r w:rsidR="00AE7DB8" w:rsidRPr="00EF0935">
        <w:rPr>
          <w:lang w:val="en-GB"/>
        </w:rPr>
        <w:t>selected crops</w:t>
      </w:r>
      <w:r w:rsidR="00CC1B2B" w:rsidRPr="00EF0935">
        <w:rPr>
          <w:lang w:val="en-GB"/>
        </w:rPr>
        <w:t xml:space="preserve"> (cowpea, groundnut and sesame)</w:t>
      </w:r>
      <w:r w:rsidR="00AE7DB8" w:rsidRPr="00EF0935">
        <w:rPr>
          <w:lang w:val="en-GB"/>
        </w:rPr>
        <w:t xml:space="preserve"> </w:t>
      </w:r>
      <w:r w:rsidR="00CC1B2B" w:rsidRPr="00EF0935">
        <w:rPr>
          <w:lang w:val="en-GB"/>
        </w:rPr>
        <w:t>ha</w:t>
      </w:r>
      <w:r w:rsidR="00FD3CB8" w:rsidRPr="00EF0935">
        <w:rPr>
          <w:lang w:val="en-GB"/>
        </w:rPr>
        <w:t>d</w:t>
      </w:r>
      <w:r w:rsidR="00CC1B2B" w:rsidRPr="00EF0935">
        <w:rPr>
          <w:lang w:val="en-GB"/>
        </w:rPr>
        <w:t xml:space="preserve"> less commercial interest </w:t>
      </w:r>
      <w:r w:rsidR="00AE7DB8" w:rsidRPr="00EF0935">
        <w:rPr>
          <w:lang w:val="en-GB"/>
        </w:rPr>
        <w:t xml:space="preserve">for </w:t>
      </w:r>
      <w:r w:rsidR="00FB7B7F">
        <w:rPr>
          <w:lang w:val="en-GB"/>
        </w:rPr>
        <w:t>PSCs</w:t>
      </w:r>
      <w:r w:rsidR="00AE7DB8" w:rsidRPr="00EF0935">
        <w:rPr>
          <w:lang w:val="en-GB"/>
        </w:rPr>
        <w:t>.</w:t>
      </w:r>
      <w:r w:rsidR="00AE7DB8" w:rsidRPr="00EF0935">
        <w:rPr>
          <w:rStyle w:val="FootnoteReference"/>
          <w:lang w:val="en-GB"/>
        </w:rPr>
        <w:footnoteReference w:id="12"/>
      </w:r>
      <w:r w:rsidR="00B9633E">
        <w:rPr>
          <w:lang w:val="en-GB"/>
        </w:rPr>
        <w:t xml:space="preserve"> While the </w:t>
      </w:r>
      <w:r w:rsidR="0055540B">
        <w:rPr>
          <w:lang w:val="en-GB"/>
        </w:rPr>
        <w:t>adjustments</w:t>
      </w:r>
      <w:r w:rsidR="00B9633E">
        <w:rPr>
          <w:lang w:val="en-GB"/>
        </w:rPr>
        <w:t xml:space="preserve"> </w:t>
      </w:r>
      <w:r w:rsidR="0055540B">
        <w:rPr>
          <w:lang w:val="en-GB"/>
        </w:rPr>
        <w:t xml:space="preserve">made </w:t>
      </w:r>
      <w:r w:rsidR="00B9633E">
        <w:rPr>
          <w:lang w:val="en-GB"/>
        </w:rPr>
        <w:t xml:space="preserve">around </w:t>
      </w:r>
      <w:r w:rsidR="00EE1332">
        <w:rPr>
          <w:lang w:val="en-GB"/>
        </w:rPr>
        <w:t xml:space="preserve">some of </w:t>
      </w:r>
      <w:r w:rsidR="00B9633E">
        <w:rPr>
          <w:lang w:val="en-GB"/>
        </w:rPr>
        <w:t>these aspects</w:t>
      </w:r>
      <w:r w:rsidR="00EF0935">
        <w:rPr>
          <w:lang w:val="en-GB"/>
        </w:rPr>
        <w:t xml:space="preserve"> </w:t>
      </w:r>
      <w:r w:rsidR="00B9633E">
        <w:rPr>
          <w:lang w:val="en-GB"/>
        </w:rPr>
        <w:t xml:space="preserve">at </w:t>
      </w:r>
      <w:r w:rsidR="00483355">
        <w:rPr>
          <w:lang w:val="en-GB"/>
        </w:rPr>
        <w:t>Mid-term Review (</w:t>
      </w:r>
      <w:r w:rsidR="00B9633E">
        <w:rPr>
          <w:lang w:val="en-GB"/>
        </w:rPr>
        <w:t>MTR</w:t>
      </w:r>
      <w:r w:rsidR="00483355">
        <w:rPr>
          <w:lang w:val="en-GB"/>
        </w:rPr>
        <w:t>)</w:t>
      </w:r>
      <w:r w:rsidR="00B9633E">
        <w:rPr>
          <w:lang w:val="en-GB"/>
        </w:rPr>
        <w:t xml:space="preserve"> </w:t>
      </w:r>
      <w:r w:rsidR="0032385A">
        <w:rPr>
          <w:lang w:val="en-GB"/>
        </w:rPr>
        <w:t>(see paragraph 10</w:t>
      </w:r>
      <w:r w:rsidR="00EE1332">
        <w:rPr>
          <w:lang w:val="en-GB"/>
        </w:rPr>
        <w:t xml:space="preserve">) </w:t>
      </w:r>
      <w:r w:rsidR="00B9633E">
        <w:rPr>
          <w:lang w:val="en-GB"/>
        </w:rPr>
        <w:t xml:space="preserve">improved the relevance, </w:t>
      </w:r>
      <w:r w:rsidR="0055540B">
        <w:rPr>
          <w:lang w:val="en-GB"/>
        </w:rPr>
        <w:t xml:space="preserve">the initial design shortfall resulted in an effective loss of two years of implementation. </w:t>
      </w:r>
    </w:p>
    <w:p w:rsidR="00606D29" w:rsidRPr="0032385A" w:rsidRDefault="00FF62A3" w:rsidP="004E33C5">
      <w:pPr>
        <w:pStyle w:val="ListParagraph"/>
        <w:numPr>
          <w:ilvl w:val="0"/>
          <w:numId w:val="10"/>
        </w:numPr>
        <w:spacing w:after="120"/>
        <w:ind w:left="567" w:hanging="567"/>
        <w:contextualSpacing w:val="0"/>
      </w:pPr>
      <w:r w:rsidRPr="00AD0E65">
        <w:rPr>
          <w:b/>
          <w:bCs/>
          <w:lang w:val="en-GB"/>
        </w:rPr>
        <w:t>Relevance of targeting</w:t>
      </w:r>
      <w:r w:rsidRPr="008E3357">
        <w:rPr>
          <w:lang w:val="en-GB"/>
        </w:rPr>
        <w:t xml:space="preserve">: </w:t>
      </w:r>
      <w:r w:rsidR="00B468D5" w:rsidRPr="008E3357">
        <w:rPr>
          <w:lang w:val="en-GB"/>
        </w:rPr>
        <w:t xml:space="preserve">The </w:t>
      </w:r>
      <w:r w:rsidR="009B47F4">
        <w:rPr>
          <w:lang w:val="en-GB"/>
        </w:rPr>
        <w:t>project</w:t>
      </w:r>
      <w:r w:rsidR="00B468D5" w:rsidRPr="008E3357">
        <w:rPr>
          <w:lang w:val="en-GB"/>
        </w:rPr>
        <w:t xml:space="preserve"> prioritize</w:t>
      </w:r>
      <w:r w:rsidR="00580B98" w:rsidRPr="008E3357">
        <w:rPr>
          <w:lang w:val="en-GB"/>
        </w:rPr>
        <w:t>d</w:t>
      </w:r>
      <w:r w:rsidR="00B468D5" w:rsidRPr="008E3357">
        <w:rPr>
          <w:lang w:val="en-GB"/>
        </w:rPr>
        <w:t xml:space="preserve"> communities with previous experience in </w:t>
      </w:r>
      <w:r w:rsidR="00B9633E">
        <w:rPr>
          <w:lang w:val="en-GB"/>
        </w:rPr>
        <w:t xml:space="preserve">seed multiplication within </w:t>
      </w:r>
      <w:r w:rsidR="00687743">
        <w:rPr>
          <w:lang w:val="en-GB"/>
        </w:rPr>
        <w:t xml:space="preserve">other </w:t>
      </w:r>
      <w:r w:rsidR="00B9633E">
        <w:rPr>
          <w:lang w:val="en-GB"/>
        </w:rPr>
        <w:t>IFAD-</w:t>
      </w:r>
      <w:r w:rsidR="00B468D5" w:rsidRPr="008E3357">
        <w:rPr>
          <w:lang w:val="en-GB"/>
        </w:rPr>
        <w:t>funded projects</w:t>
      </w:r>
      <w:r w:rsidR="00687743">
        <w:rPr>
          <w:lang w:val="en-GB"/>
        </w:rPr>
        <w:t xml:space="preserve"> and with suitable soils and rainfalls</w:t>
      </w:r>
      <w:r w:rsidR="00B468D5" w:rsidRPr="008E3357">
        <w:rPr>
          <w:lang w:val="en-GB"/>
        </w:rPr>
        <w:t xml:space="preserve">. </w:t>
      </w:r>
      <w:r w:rsidR="00687743">
        <w:rPr>
          <w:lang w:val="en-GB"/>
        </w:rPr>
        <w:t xml:space="preserve">Using this entry point </w:t>
      </w:r>
      <w:r w:rsidR="00B07D51">
        <w:rPr>
          <w:lang w:val="en-GB"/>
        </w:rPr>
        <w:t>was</w:t>
      </w:r>
      <w:r w:rsidR="00687743">
        <w:rPr>
          <w:lang w:val="en-GB"/>
        </w:rPr>
        <w:t xml:space="preserve"> appropriate</w:t>
      </w:r>
      <w:r w:rsidR="009B47F4">
        <w:rPr>
          <w:lang w:val="en-GB"/>
        </w:rPr>
        <w:t xml:space="preserve"> as it also </w:t>
      </w:r>
      <w:r w:rsidR="00154274">
        <w:rPr>
          <w:lang w:val="en-GB"/>
        </w:rPr>
        <w:t>enable</w:t>
      </w:r>
      <w:r w:rsidR="00691D6B">
        <w:rPr>
          <w:lang w:val="en-GB"/>
        </w:rPr>
        <w:t>d</w:t>
      </w:r>
      <w:r w:rsidR="00154274">
        <w:rPr>
          <w:lang w:val="en-GB"/>
        </w:rPr>
        <w:t xml:space="preserve"> SDP to capitalize on community-level institutions </w:t>
      </w:r>
      <w:r w:rsidR="00691D6B">
        <w:rPr>
          <w:lang w:val="en-GB"/>
        </w:rPr>
        <w:t xml:space="preserve">supported </w:t>
      </w:r>
      <w:r w:rsidR="00154274">
        <w:rPr>
          <w:lang w:val="en-GB"/>
        </w:rPr>
        <w:t>(</w:t>
      </w:r>
      <w:r w:rsidR="00691D6B">
        <w:rPr>
          <w:lang w:val="en-GB"/>
        </w:rPr>
        <w:t xml:space="preserve">i.e. </w:t>
      </w:r>
      <w:r w:rsidR="00154274">
        <w:rPr>
          <w:lang w:val="en-GB"/>
        </w:rPr>
        <w:t>CDC</w:t>
      </w:r>
      <w:r w:rsidR="00691D6B">
        <w:rPr>
          <w:lang w:val="en-GB"/>
        </w:rPr>
        <w:t>s</w:t>
      </w:r>
      <w:r w:rsidR="00154274">
        <w:rPr>
          <w:lang w:val="en-GB"/>
        </w:rPr>
        <w:t xml:space="preserve">), extension teams and other investments. </w:t>
      </w:r>
      <w:r w:rsidR="00480019">
        <w:rPr>
          <w:lang w:val="en-GB"/>
        </w:rPr>
        <w:t>Inclusion of women</w:t>
      </w:r>
      <w:r w:rsidR="00C92819">
        <w:rPr>
          <w:lang w:val="en-GB"/>
        </w:rPr>
        <w:t xml:space="preserve"> and youth was to </w:t>
      </w:r>
      <w:proofErr w:type="gramStart"/>
      <w:r w:rsidR="00C92819">
        <w:rPr>
          <w:lang w:val="en-GB"/>
        </w:rPr>
        <w:t>be facilitated</w:t>
      </w:r>
      <w:proofErr w:type="gramEnd"/>
      <w:r w:rsidR="00C92819">
        <w:rPr>
          <w:lang w:val="en-GB"/>
        </w:rPr>
        <w:t xml:space="preserve"> by setting up of the quota (30 per cent for women and 20 per cent for youth), tracking of their participation, as well as training of extension teams </w:t>
      </w:r>
      <w:r w:rsidR="00480019">
        <w:rPr>
          <w:lang w:val="en-GB"/>
        </w:rPr>
        <w:t xml:space="preserve">(normally including women extension agents) </w:t>
      </w:r>
      <w:r w:rsidR="00C92819">
        <w:rPr>
          <w:lang w:val="en-GB"/>
        </w:rPr>
        <w:t>and producer groups in gender mainstreaming.</w:t>
      </w:r>
      <w:r w:rsidR="00C92819">
        <w:rPr>
          <w:rStyle w:val="FootnoteReference"/>
          <w:lang w:val="en-GB"/>
        </w:rPr>
        <w:footnoteReference w:id="13"/>
      </w:r>
      <w:r w:rsidR="00480019">
        <w:rPr>
          <w:lang w:val="en-GB"/>
        </w:rPr>
        <w:t xml:space="preserve"> These measures, the partnership with microfinance </w:t>
      </w:r>
      <w:proofErr w:type="gramStart"/>
      <w:r w:rsidR="00480019">
        <w:rPr>
          <w:lang w:val="en-GB"/>
        </w:rPr>
        <w:t xml:space="preserve">institutions </w:t>
      </w:r>
      <w:r w:rsidR="00FB7B7F">
        <w:rPr>
          <w:lang w:val="en-GB"/>
        </w:rPr>
        <w:t>which normally focus on female clients</w:t>
      </w:r>
      <w:r w:rsidR="003275F3">
        <w:rPr>
          <w:lang w:val="en-GB"/>
        </w:rPr>
        <w:t xml:space="preserve"> </w:t>
      </w:r>
      <w:r w:rsidR="00722B2E">
        <w:rPr>
          <w:lang w:val="en-GB"/>
        </w:rPr>
        <w:t>as well as</w:t>
      </w:r>
      <w:r w:rsidR="003275F3">
        <w:rPr>
          <w:lang w:val="en-GB"/>
        </w:rPr>
        <w:t xml:space="preserve"> the focus on training youth for business-related opportunities (e.g. agro-dealers, traders)</w:t>
      </w:r>
      <w:proofErr w:type="gramEnd"/>
      <w:r w:rsidR="00480019">
        <w:rPr>
          <w:lang w:val="en-GB"/>
        </w:rPr>
        <w:t xml:space="preserve"> were</w:t>
      </w:r>
      <w:r w:rsidR="003275F3">
        <w:rPr>
          <w:lang w:val="en-GB"/>
        </w:rPr>
        <w:t xml:space="preserve"> overall</w:t>
      </w:r>
      <w:r w:rsidR="00480019">
        <w:rPr>
          <w:lang w:val="en-GB"/>
        </w:rPr>
        <w:t xml:space="preserve"> </w:t>
      </w:r>
      <w:r w:rsidR="00B07D51">
        <w:rPr>
          <w:lang w:val="en-GB"/>
        </w:rPr>
        <w:t>appropriate</w:t>
      </w:r>
      <w:r w:rsidR="00480019">
        <w:rPr>
          <w:lang w:val="en-GB"/>
        </w:rPr>
        <w:t>.</w:t>
      </w:r>
    </w:p>
    <w:p w:rsidR="002A745B" w:rsidRPr="00AD0E65" w:rsidRDefault="00691D6B" w:rsidP="000E798A">
      <w:pPr>
        <w:pStyle w:val="ListParagraph"/>
        <w:numPr>
          <w:ilvl w:val="0"/>
          <w:numId w:val="10"/>
        </w:numPr>
        <w:spacing w:after="120"/>
        <w:ind w:left="567" w:hanging="567"/>
        <w:contextualSpacing w:val="0"/>
      </w:pPr>
      <w:r>
        <w:rPr>
          <w:lang w:val="en-GB"/>
        </w:rPr>
        <w:t xml:space="preserve">The design report presented somewhat different targeting criteria for communities/households for </w:t>
      </w:r>
      <w:r w:rsidR="00606D29">
        <w:rPr>
          <w:lang w:val="en-GB"/>
        </w:rPr>
        <w:t>seed growers</w:t>
      </w:r>
      <w:r>
        <w:rPr>
          <w:lang w:val="en-GB"/>
        </w:rPr>
        <w:t xml:space="preserve"> on the one hand, and those who would acquire better quality seeds on the other. </w:t>
      </w:r>
      <w:r w:rsidR="005D627A">
        <w:rPr>
          <w:lang w:val="en-GB"/>
        </w:rPr>
        <w:t>G</w:t>
      </w:r>
      <w:r w:rsidR="00BB2707" w:rsidRPr="008E3357">
        <w:rPr>
          <w:lang w:val="en-GB"/>
        </w:rPr>
        <w:t>iven the limitation of smallholder farmers to produce seed</w:t>
      </w:r>
      <w:r w:rsidR="005D627A">
        <w:rPr>
          <w:lang w:val="en-GB"/>
        </w:rPr>
        <w:t>s</w:t>
      </w:r>
      <w:r w:rsidR="00D23AD3" w:rsidRPr="008E3357">
        <w:rPr>
          <w:lang w:val="en-GB"/>
        </w:rPr>
        <w:t xml:space="preserve">, </w:t>
      </w:r>
      <w:r w:rsidR="00606D29">
        <w:rPr>
          <w:lang w:val="en-GB"/>
        </w:rPr>
        <w:t xml:space="preserve">the MTR recommended the inclusion of four </w:t>
      </w:r>
      <w:r w:rsidR="00D23AD3" w:rsidRPr="00AD0E65">
        <w:rPr>
          <w:lang w:val="en-GB"/>
        </w:rPr>
        <w:t xml:space="preserve">medium size farmers with suitable land and skills for seed growing. </w:t>
      </w:r>
      <w:r w:rsidR="00B07D51">
        <w:rPr>
          <w:lang w:val="en-GB"/>
        </w:rPr>
        <w:t xml:space="preserve">In any case, </w:t>
      </w:r>
      <w:r w:rsidR="000C35DE">
        <w:rPr>
          <w:lang w:val="en-GB"/>
        </w:rPr>
        <w:t xml:space="preserve">it </w:t>
      </w:r>
      <w:proofErr w:type="gramStart"/>
      <w:r w:rsidR="000C35DE">
        <w:rPr>
          <w:lang w:val="en-GB"/>
        </w:rPr>
        <w:t xml:space="preserve">is </w:t>
      </w:r>
      <w:r w:rsidR="00870AA6">
        <w:rPr>
          <w:lang w:val="en-GB"/>
        </w:rPr>
        <w:t>noted</w:t>
      </w:r>
      <w:proofErr w:type="gramEnd"/>
      <w:r w:rsidR="00870AA6">
        <w:rPr>
          <w:lang w:val="en-GB"/>
        </w:rPr>
        <w:t xml:space="preserve"> that </w:t>
      </w:r>
      <w:r w:rsidR="00D72186">
        <w:rPr>
          <w:lang w:val="en-GB"/>
        </w:rPr>
        <w:t>the predominant and relevant outreach mechanism was for grain producers and not seed growers</w:t>
      </w:r>
      <w:r w:rsidR="00F105EB">
        <w:rPr>
          <w:lang w:val="en-GB"/>
        </w:rPr>
        <w:t xml:space="preserve">. </w:t>
      </w:r>
      <w:r w:rsidR="00D23AD3" w:rsidRPr="00AD0E65">
        <w:rPr>
          <w:lang w:val="en-GB"/>
        </w:rPr>
        <w:t xml:space="preserve"> </w:t>
      </w:r>
    </w:p>
    <w:p w:rsidR="009952E5" w:rsidRPr="009952E5" w:rsidRDefault="009952E5" w:rsidP="00487319">
      <w:pPr>
        <w:pStyle w:val="ListParagraph"/>
        <w:numPr>
          <w:ilvl w:val="0"/>
          <w:numId w:val="10"/>
        </w:numPr>
        <w:spacing w:after="120"/>
        <w:ind w:left="567" w:hanging="567"/>
        <w:contextualSpacing w:val="0"/>
      </w:pPr>
      <w:r>
        <w:rPr>
          <w:lang w:val="en-GB"/>
        </w:rPr>
        <w:t>The PCRV rates</w:t>
      </w:r>
      <w:r w:rsidRPr="00D15B29">
        <w:rPr>
          <w:lang w:val="en-GB"/>
        </w:rPr>
        <w:t xml:space="preserve"> </w:t>
      </w:r>
      <w:r w:rsidR="00D15B29">
        <w:rPr>
          <w:lang w:val="en-GB"/>
        </w:rPr>
        <w:t>r</w:t>
      </w:r>
      <w:r w:rsidRPr="00D15B29">
        <w:rPr>
          <w:lang w:val="en-GB"/>
        </w:rPr>
        <w:t>elevance</w:t>
      </w:r>
      <w:r w:rsidRPr="00D15B29">
        <w:rPr>
          <w:b/>
          <w:bCs/>
          <w:lang w:val="en-GB"/>
        </w:rPr>
        <w:t xml:space="preserve"> </w:t>
      </w:r>
      <w:r w:rsidRPr="006A61A6">
        <w:rPr>
          <w:i/>
          <w:iCs/>
          <w:lang w:val="en-GB"/>
        </w:rPr>
        <w:t>moderately satisfactory (4)</w:t>
      </w:r>
      <w:r w:rsidR="009F3299">
        <w:rPr>
          <w:lang w:val="en-GB"/>
        </w:rPr>
        <w:t xml:space="preserve"> in line with the PCR rating.</w:t>
      </w:r>
    </w:p>
    <w:p w:rsidR="004139C4" w:rsidRPr="007F2A98" w:rsidRDefault="004139C4" w:rsidP="00BD5F4F">
      <w:pPr>
        <w:pStyle w:val="ListParagraph"/>
        <w:spacing w:after="40"/>
        <w:ind w:left="567"/>
        <w:contextualSpacing w:val="0"/>
        <w:rPr>
          <w:b/>
          <w:bCs/>
          <w:sz w:val="22"/>
          <w:szCs w:val="22"/>
        </w:rPr>
      </w:pPr>
      <w:r w:rsidRPr="007F2A98">
        <w:rPr>
          <w:b/>
          <w:bCs/>
          <w:sz w:val="22"/>
          <w:szCs w:val="22"/>
        </w:rPr>
        <w:t>Effectiveness</w:t>
      </w:r>
    </w:p>
    <w:p w:rsidR="00EC1C8A" w:rsidRDefault="009604EF" w:rsidP="00FD70FF">
      <w:pPr>
        <w:pStyle w:val="ListParagraph"/>
        <w:numPr>
          <w:ilvl w:val="0"/>
          <w:numId w:val="10"/>
        </w:numPr>
        <w:spacing w:after="120"/>
        <w:ind w:left="567" w:hanging="567"/>
        <w:contextualSpacing w:val="0"/>
      </w:pPr>
      <w:r w:rsidRPr="00793B31">
        <w:t>This section assesses the</w:t>
      </w:r>
      <w:r w:rsidR="009E0BDA" w:rsidRPr="00793B31">
        <w:t xml:space="preserve"> effectiveness of the project in respect to its objective</w:t>
      </w:r>
      <w:r w:rsidR="00FD70FF">
        <w:t xml:space="preserve"> </w:t>
      </w:r>
      <w:r w:rsidR="009E0BDA" w:rsidRPr="00793B31">
        <w:t>and considering the delivery of its components</w:t>
      </w:r>
      <w:r w:rsidR="00554894" w:rsidRPr="00793B31">
        <w:rPr>
          <w:lang w:val="en-US"/>
        </w:rPr>
        <w:t xml:space="preserve">. </w:t>
      </w:r>
      <w:r w:rsidR="00156FCF" w:rsidRPr="00793B31">
        <w:rPr>
          <w:lang w:val="en-US"/>
        </w:rPr>
        <w:t xml:space="preserve">It </w:t>
      </w:r>
      <w:proofErr w:type="gramStart"/>
      <w:r w:rsidR="00156FCF" w:rsidRPr="00793B31">
        <w:rPr>
          <w:lang w:val="en-US"/>
        </w:rPr>
        <w:t>should be noted</w:t>
      </w:r>
      <w:proofErr w:type="gramEnd"/>
      <w:r w:rsidR="00156FCF" w:rsidRPr="00793B31">
        <w:rPr>
          <w:lang w:val="en-US"/>
        </w:rPr>
        <w:t xml:space="preserve"> </w:t>
      </w:r>
      <w:r w:rsidR="00156FCF" w:rsidRPr="00793B31">
        <w:t xml:space="preserve">a </w:t>
      </w:r>
      <w:r w:rsidR="005D627A" w:rsidRPr="00793B31">
        <w:t>review of the PCR and</w:t>
      </w:r>
      <w:r w:rsidR="00870AA6" w:rsidRPr="00793B31">
        <w:t xml:space="preserve"> other sources raises some questions on the reliability of data</w:t>
      </w:r>
      <w:r w:rsidR="00793B31">
        <w:t xml:space="preserve"> as discussed below</w:t>
      </w:r>
      <w:r w:rsidR="005D627A" w:rsidRPr="00793B31">
        <w:t xml:space="preserve">. </w:t>
      </w:r>
      <w:r w:rsidR="00990490" w:rsidRPr="00793B31">
        <w:t xml:space="preserve">Indeed, most supervision missions highlighted weaknesses in project’s </w:t>
      </w:r>
      <w:r w:rsidR="00C91F21" w:rsidRPr="00793B31">
        <w:t>monitoring and evaluation (</w:t>
      </w:r>
      <w:r w:rsidR="00044F6B" w:rsidRPr="00793B31">
        <w:t>M&amp;E</w:t>
      </w:r>
      <w:r w:rsidR="00C91F21" w:rsidRPr="00793B31">
        <w:t>)</w:t>
      </w:r>
      <w:r w:rsidR="00044F6B" w:rsidRPr="00793B31">
        <w:t>.</w:t>
      </w:r>
      <w:r w:rsidR="00990490" w:rsidRPr="00793B31">
        <w:t xml:space="preserve"> </w:t>
      </w:r>
    </w:p>
    <w:p w:rsidR="00156FCF" w:rsidRPr="00EC1C8A" w:rsidRDefault="005D627A" w:rsidP="00FD70FF">
      <w:pPr>
        <w:pStyle w:val="ListParagraph"/>
        <w:numPr>
          <w:ilvl w:val="0"/>
          <w:numId w:val="10"/>
        </w:numPr>
        <w:spacing w:after="120"/>
        <w:ind w:left="567" w:hanging="567"/>
        <w:contextualSpacing w:val="0"/>
      </w:pPr>
      <w:r w:rsidRPr="00EC1C8A">
        <w:rPr>
          <w:b/>
          <w:bCs/>
          <w:lang w:val="en-GB"/>
        </w:rPr>
        <w:t>Outreach.</w:t>
      </w:r>
      <w:r w:rsidRPr="00EC1C8A">
        <w:rPr>
          <w:lang w:val="en-GB"/>
        </w:rPr>
        <w:t xml:space="preserve"> </w:t>
      </w:r>
      <w:r w:rsidR="00793B31" w:rsidRPr="00EC1C8A">
        <w:rPr>
          <w:lang w:val="en-GB"/>
        </w:rPr>
        <w:t xml:space="preserve">According to the PCR and additional data obtained, </w:t>
      </w:r>
      <w:r w:rsidRPr="00EC1C8A">
        <w:rPr>
          <w:lang w:val="en-GB"/>
        </w:rPr>
        <w:t>the total number of smallholder farmers reached by the project</w:t>
      </w:r>
      <w:r w:rsidR="003275F3" w:rsidRPr="00EC1C8A">
        <w:rPr>
          <w:lang w:val="en-GB"/>
        </w:rPr>
        <w:t xml:space="preserve"> (direct beneficiaries)</w:t>
      </w:r>
      <w:r w:rsidRPr="00EC1C8A">
        <w:rPr>
          <w:lang w:val="en-GB"/>
        </w:rPr>
        <w:t xml:space="preserve"> </w:t>
      </w:r>
      <w:r w:rsidR="00C10E06" w:rsidRPr="00EC1C8A">
        <w:rPr>
          <w:lang w:val="en-GB"/>
        </w:rPr>
        <w:t>was</w:t>
      </w:r>
      <w:r w:rsidRPr="00EC1C8A">
        <w:rPr>
          <w:lang w:val="en-GB"/>
        </w:rPr>
        <w:t xml:space="preserve"> 52,494 </w:t>
      </w:r>
      <w:r w:rsidR="00AA608E" w:rsidRPr="00EC1C8A">
        <w:rPr>
          <w:lang w:val="en-GB"/>
        </w:rPr>
        <w:t>in 166 communities</w:t>
      </w:r>
      <w:r w:rsidR="00793B31" w:rsidRPr="00EC1C8A">
        <w:rPr>
          <w:rStyle w:val="FootnoteReference"/>
          <w:lang w:val="en-GB"/>
        </w:rPr>
        <w:footnoteReference w:id="14"/>
      </w:r>
      <w:r w:rsidR="00AA608E" w:rsidRPr="00EC1C8A">
        <w:rPr>
          <w:lang w:val="en-GB"/>
        </w:rPr>
        <w:t xml:space="preserve"> </w:t>
      </w:r>
      <w:r w:rsidRPr="00EC1C8A">
        <w:rPr>
          <w:lang w:val="en-GB"/>
        </w:rPr>
        <w:t>against the MTR target of 69,00</w:t>
      </w:r>
      <w:r w:rsidR="00D72186" w:rsidRPr="00EC1C8A">
        <w:rPr>
          <w:lang w:val="en-GB"/>
        </w:rPr>
        <w:t>0</w:t>
      </w:r>
      <w:r w:rsidR="00156FCF" w:rsidRPr="00EC1C8A">
        <w:rPr>
          <w:lang w:val="en-GB"/>
        </w:rPr>
        <w:t>.</w:t>
      </w:r>
      <w:r w:rsidR="00AA608E" w:rsidRPr="00EC1C8A">
        <w:rPr>
          <w:lang w:val="en-GB"/>
        </w:rPr>
        <w:t xml:space="preserve"> </w:t>
      </w:r>
      <w:r w:rsidR="00870AA6" w:rsidRPr="00EC1C8A">
        <w:rPr>
          <w:lang w:val="en-GB"/>
        </w:rPr>
        <w:t xml:space="preserve">This is a substantially higher number compared to </w:t>
      </w:r>
      <w:r w:rsidRPr="00EC1C8A">
        <w:rPr>
          <w:lang w:val="en-GB"/>
        </w:rPr>
        <w:t xml:space="preserve">what </w:t>
      </w:r>
      <w:proofErr w:type="gramStart"/>
      <w:r w:rsidRPr="00EC1C8A">
        <w:rPr>
          <w:lang w:val="en-GB"/>
        </w:rPr>
        <w:t>was reported</w:t>
      </w:r>
      <w:proofErr w:type="gramEnd"/>
      <w:r w:rsidRPr="00EC1C8A">
        <w:rPr>
          <w:lang w:val="en-GB"/>
        </w:rPr>
        <w:t xml:space="preserve"> </w:t>
      </w:r>
      <w:r w:rsidR="00AA608E" w:rsidRPr="00EC1C8A">
        <w:rPr>
          <w:lang w:val="en-GB"/>
        </w:rPr>
        <w:t xml:space="preserve">by the </w:t>
      </w:r>
      <w:r w:rsidR="00106B09" w:rsidRPr="00EC1C8A">
        <w:rPr>
          <w:lang w:val="en-GB"/>
        </w:rPr>
        <w:t>previous missions</w:t>
      </w:r>
      <w:r w:rsidR="00196650" w:rsidRPr="00EC1C8A">
        <w:rPr>
          <w:lang w:val="en-GB"/>
        </w:rPr>
        <w:t xml:space="preserve"> (i.e. 12,830 households in 119 communities in October 2017</w:t>
      </w:r>
      <w:r w:rsidR="00FD70FF" w:rsidRPr="00EC1C8A">
        <w:rPr>
          <w:lang w:val="en-GB"/>
        </w:rPr>
        <w:t>,</w:t>
      </w:r>
      <w:r w:rsidR="002724FA" w:rsidRPr="00EC1C8A">
        <w:rPr>
          <w:rStyle w:val="FootnoteReference"/>
          <w:lang w:val="en-GB"/>
        </w:rPr>
        <w:footnoteReference w:id="15"/>
      </w:r>
      <w:r w:rsidR="00196650" w:rsidRPr="00EC1C8A">
        <w:rPr>
          <w:lang w:val="en-GB"/>
        </w:rPr>
        <w:t xml:space="preserve"> 10,905 households in 74 communities in October 2016)</w:t>
      </w:r>
      <w:r w:rsidRPr="00EC1C8A">
        <w:rPr>
          <w:lang w:val="en-GB"/>
        </w:rPr>
        <w:t>.</w:t>
      </w:r>
      <w:r w:rsidR="00156FCF" w:rsidRPr="00EC1C8A">
        <w:rPr>
          <w:lang w:val="en-GB"/>
        </w:rPr>
        <w:t xml:space="preserve"> </w:t>
      </w:r>
      <w:r w:rsidR="005F1EC6" w:rsidRPr="00EC1C8A">
        <w:rPr>
          <w:lang w:val="en-GB"/>
        </w:rPr>
        <w:t>The previous project staff explained t</w:t>
      </w:r>
      <w:r w:rsidR="00196650" w:rsidRPr="00EC1C8A">
        <w:rPr>
          <w:lang w:val="en-GB"/>
        </w:rPr>
        <w:t xml:space="preserve">hat these figures reported by the supervision missions were not cumulative ones and </w:t>
      </w:r>
      <w:r w:rsidR="005F1EC6" w:rsidRPr="00EC1C8A">
        <w:rPr>
          <w:lang w:val="en-GB"/>
        </w:rPr>
        <w:t>confirmed that there is</w:t>
      </w:r>
      <w:r w:rsidR="00196650" w:rsidRPr="00EC1C8A">
        <w:rPr>
          <w:lang w:val="en-GB"/>
        </w:rPr>
        <w:t xml:space="preserve"> no </w:t>
      </w:r>
      <w:proofErr w:type="gramStart"/>
      <w:r w:rsidR="00196650" w:rsidRPr="00EC1C8A">
        <w:rPr>
          <w:lang w:val="en-GB"/>
        </w:rPr>
        <w:t>double-counting</w:t>
      </w:r>
      <w:proofErr w:type="gramEnd"/>
      <w:r w:rsidR="00196650" w:rsidRPr="00EC1C8A">
        <w:rPr>
          <w:lang w:val="en-GB"/>
        </w:rPr>
        <w:t xml:space="preserve"> in 52,494 households</w:t>
      </w:r>
      <w:r w:rsidR="00A869DC" w:rsidRPr="00EC1C8A">
        <w:rPr>
          <w:lang w:val="en-GB"/>
        </w:rPr>
        <w:t xml:space="preserve">. </w:t>
      </w:r>
      <w:proofErr w:type="gramStart"/>
      <w:r w:rsidR="002724FA" w:rsidRPr="00EC1C8A">
        <w:rPr>
          <w:lang w:val="en-GB"/>
        </w:rPr>
        <w:t>While the data show that many of them were in “exposure communities”</w:t>
      </w:r>
      <w:r w:rsidR="00FD70FF" w:rsidRPr="00EC1C8A">
        <w:rPr>
          <w:lang w:val="en-GB"/>
        </w:rPr>
        <w:t>,</w:t>
      </w:r>
      <w:r w:rsidR="002724FA" w:rsidRPr="00EC1C8A">
        <w:rPr>
          <w:rStyle w:val="FootnoteReference"/>
          <w:lang w:val="en-GB"/>
        </w:rPr>
        <w:footnoteReference w:id="16"/>
      </w:r>
      <w:r w:rsidR="002724FA" w:rsidRPr="00EC1C8A">
        <w:rPr>
          <w:lang w:val="en-GB"/>
        </w:rPr>
        <w:t xml:space="preserve"> </w:t>
      </w:r>
      <w:r w:rsidR="00C26C16" w:rsidRPr="00EC1C8A">
        <w:rPr>
          <w:lang w:val="en-GB"/>
        </w:rPr>
        <w:t xml:space="preserve">it is understood that there was </w:t>
      </w:r>
      <w:r w:rsidR="00824D97" w:rsidRPr="00EC1C8A">
        <w:rPr>
          <w:lang w:val="en-GB"/>
        </w:rPr>
        <w:t xml:space="preserve">also </w:t>
      </w:r>
      <w:r w:rsidR="00C26C16" w:rsidRPr="00EC1C8A">
        <w:rPr>
          <w:lang w:val="en-GB"/>
        </w:rPr>
        <w:t>informal marketing</w:t>
      </w:r>
      <w:r w:rsidR="00824D97" w:rsidRPr="00EC1C8A">
        <w:rPr>
          <w:lang w:val="en-GB"/>
        </w:rPr>
        <w:t>/distribution</w:t>
      </w:r>
      <w:r w:rsidR="00C26C16" w:rsidRPr="00EC1C8A">
        <w:rPr>
          <w:lang w:val="en-GB"/>
        </w:rPr>
        <w:t xml:space="preserve"> of </w:t>
      </w:r>
      <w:r w:rsidR="00824D97" w:rsidRPr="00EC1C8A">
        <w:rPr>
          <w:lang w:val="en-GB"/>
        </w:rPr>
        <w:t>certified</w:t>
      </w:r>
      <w:r w:rsidR="00C26C16" w:rsidRPr="00EC1C8A">
        <w:rPr>
          <w:lang w:val="en-GB"/>
        </w:rPr>
        <w:t xml:space="preserve"> seeds within and outside the villages of seed growers (those </w:t>
      </w:r>
      <w:r w:rsidR="00A869DC" w:rsidRPr="00EC1C8A">
        <w:rPr>
          <w:lang w:val="en-GB"/>
        </w:rPr>
        <w:t xml:space="preserve">seeds </w:t>
      </w:r>
      <w:r w:rsidR="00C26C16" w:rsidRPr="00EC1C8A">
        <w:rPr>
          <w:lang w:val="en-GB"/>
        </w:rPr>
        <w:t xml:space="preserve">that were not sold to PSCs or </w:t>
      </w:r>
      <w:r w:rsidR="00A869DC" w:rsidRPr="00EC1C8A">
        <w:rPr>
          <w:lang w:val="en-GB"/>
        </w:rPr>
        <w:t xml:space="preserve">not </w:t>
      </w:r>
      <w:r w:rsidR="00C26C16" w:rsidRPr="00EC1C8A">
        <w:rPr>
          <w:lang w:val="en-GB"/>
        </w:rPr>
        <w:t>sold as grains)</w:t>
      </w:r>
      <w:r w:rsidR="00824D97" w:rsidRPr="00EC1C8A">
        <w:rPr>
          <w:lang w:val="en-GB"/>
        </w:rPr>
        <w:t xml:space="preserve">, resulting in </w:t>
      </w:r>
      <w:r w:rsidR="00C4602F" w:rsidRPr="00EC1C8A">
        <w:rPr>
          <w:lang w:val="en-GB"/>
        </w:rPr>
        <w:t>an increasing number</w:t>
      </w:r>
      <w:r w:rsidR="00C26C16" w:rsidRPr="00EC1C8A">
        <w:rPr>
          <w:lang w:val="en-GB"/>
        </w:rPr>
        <w:t xml:space="preserve"> of farmers access</w:t>
      </w:r>
      <w:r w:rsidR="00824D97" w:rsidRPr="00EC1C8A">
        <w:rPr>
          <w:lang w:val="en-GB"/>
        </w:rPr>
        <w:t>ing</w:t>
      </w:r>
      <w:r w:rsidR="00C26C16" w:rsidRPr="00EC1C8A">
        <w:rPr>
          <w:lang w:val="en-GB"/>
        </w:rPr>
        <w:t xml:space="preserve"> </w:t>
      </w:r>
      <w:r w:rsidR="00824D97" w:rsidRPr="00EC1C8A">
        <w:rPr>
          <w:lang w:val="en-GB"/>
        </w:rPr>
        <w:t xml:space="preserve">better quality </w:t>
      </w:r>
      <w:r w:rsidR="00E11327" w:rsidRPr="00EC1C8A">
        <w:rPr>
          <w:lang w:val="en-GB"/>
        </w:rPr>
        <w:t>seeds as a result of project interventions.</w:t>
      </w:r>
      <w:proofErr w:type="gramEnd"/>
      <w:r w:rsidR="00E11327" w:rsidRPr="00EC1C8A">
        <w:rPr>
          <w:lang w:val="en-GB"/>
        </w:rPr>
        <w:t xml:space="preserve"> </w:t>
      </w:r>
      <w:r w:rsidR="00FE7E9D" w:rsidRPr="00EC1C8A">
        <w:rPr>
          <w:lang w:val="en-GB"/>
        </w:rPr>
        <w:t>The outreach, whether direct or not, w</w:t>
      </w:r>
      <w:r w:rsidR="005F1EC6" w:rsidRPr="00EC1C8A">
        <w:rPr>
          <w:lang w:val="en-GB"/>
        </w:rPr>
        <w:t>ould have</w:t>
      </w:r>
      <w:r w:rsidR="00FE7E9D" w:rsidRPr="00EC1C8A">
        <w:rPr>
          <w:lang w:val="en-GB"/>
        </w:rPr>
        <w:t xml:space="preserve"> also </w:t>
      </w:r>
      <w:r w:rsidR="005F1EC6" w:rsidRPr="00EC1C8A">
        <w:rPr>
          <w:lang w:val="en-GB"/>
        </w:rPr>
        <w:t xml:space="preserve">been </w:t>
      </w:r>
      <w:r w:rsidR="00FE7E9D" w:rsidRPr="00EC1C8A">
        <w:rPr>
          <w:lang w:val="en-GB"/>
        </w:rPr>
        <w:t>facilitated by improved availability and capacity of service providers (as discussed later). Lastly, i</w:t>
      </w:r>
      <w:r w:rsidR="00C4602F" w:rsidRPr="00EC1C8A">
        <w:rPr>
          <w:lang w:val="en-GB"/>
        </w:rPr>
        <w:t xml:space="preserve">t </w:t>
      </w:r>
      <w:proofErr w:type="gramStart"/>
      <w:r w:rsidR="00E11327" w:rsidRPr="00EC1C8A">
        <w:rPr>
          <w:lang w:val="en-GB"/>
        </w:rPr>
        <w:t>was estimated</w:t>
      </w:r>
      <w:proofErr w:type="gramEnd"/>
      <w:r w:rsidR="00E11327" w:rsidRPr="00EC1C8A">
        <w:rPr>
          <w:lang w:val="en-GB"/>
        </w:rPr>
        <w:t xml:space="preserve"> that approximately 60 per cent of SDP beneficiaries were also WSRMP beneficiaries.</w:t>
      </w:r>
      <w:r w:rsidR="00E11327" w:rsidRPr="00EC1C8A">
        <w:rPr>
          <w:rStyle w:val="FootnoteReference"/>
          <w:lang w:val="en-GB"/>
        </w:rPr>
        <w:footnoteReference w:id="17"/>
      </w:r>
      <w:r w:rsidR="00E11327" w:rsidRPr="00EC1C8A">
        <w:rPr>
          <w:lang w:val="en-GB"/>
        </w:rPr>
        <w:t xml:space="preserve"> </w:t>
      </w:r>
    </w:p>
    <w:p w:rsidR="0025118A" w:rsidRDefault="005407E6" w:rsidP="00793B31">
      <w:pPr>
        <w:pStyle w:val="ListParagraph"/>
        <w:numPr>
          <w:ilvl w:val="0"/>
          <w:numId w:val="10"/>
        </w:numPr>
        <w:spacing w:before="120" w:after="120"/>
        <w:ind w:left="567" w:hanging="567"/>
        <w:contextualSpacing w:val="0"/>
        <w:rPr>
          <w:lang w:val="en-GB"/>
        </w:rPr>
      </w:pPr>
      <w:r w:rsidRPr="003049DB">
        <w:rPr>
          <w:b/>
          <w:bCs/>
          <w:lang w:val="en-GB"/>
        </w:rPr>
        <w:t xml:space="preserve">Component </w:t>
      </w:r>
      <w:r w:rsidR="00A22AC7" w:rsidRPr="003049DB">
        <w:rPr>
          <w:b/>
          <w:bCs/>
          <w:lang w:val="en-GB"/>
        </w:rPr>
        <w:t>1</w:t>
      </w:r>
      <w:r w:rsidR="00F87C08" w:rsidRPr="003049DB">
        <w:rPr>
          <w:b/>
          <w:bCs/>
          <w:lang w:val="en-GB"/>
        </w:rPr>
        <w:t>.</w:t>
      </w:r>
      <w:r w:rsidR="008D6028" w:rsidRPr="0025118A">
        <w:rPr>
          <w:b/>
          <w:bCs/>
          <w:lang w:val="en-GB"/>
        </w:rPr>
        <w:t xml:space="preserve"> </w:t>
      </w:r>
      <w:r w:rsidRPr="0025118A">
        <w:rPr>
          <w:b/>
          <w:bCs/>
          <w:lang w:val="en-GB"/>
        </w:rPr>
        <w:t>Strengthening and development of the institutional and regulatory environment</w:t>
      </w:r>
      <w:r w:rsidR="00F87C08" w:rsidRPr="0025118A">
        <w:rPr>
          <w:b/>
          <w:bCs/>
          <w:lang w:val="en-GB"/>
        </w:rPr>
        <w:t xml:space="preserve">. </w:t>
      </w:r>
      <w:r w:rsidR="00C91F21">
        <w:rPr>
          <w:lang w:val="en-GB"/>
        </w:rPr>
        <w:t xml:space="preserve">The SDP results have been </w:t>
      </w:r>
      <w:r w:rsidR="008D6028" w:rsidRPr="0025118A">
        <w:rPr>
          <w:lang w:val="en-GB"/>
        </w:rPr>
        <w:t xml:space="preserve">modest with regard to creating a conducive policy and institutional environment for the seed industry. </w:t>
      </w:r>
      <w:r w:rsidR="00006360" w:rsidRPr="0025118A">
        <w:rPr>
          <w:lang w:val="en-GB"/>
        </w:rPr>
        <w:t>T</w:t>
      </w:r>
      <w:r w:rsidR="008D6028" w:rsidRPr="0025118A">
        <w:rPr>
          <w:lang w:val="en-GB"/>
        </w:rPr>
        <w:t xml:space="preserve">he necessary legal framework </w:t>
      </w:r>
      <w:r w:rsidR="005F37CE" w:rsidRPr="0025118A">
        <w:rPr>
          <w:lang w:val="en-GB"/>
        </w:rPr>
        <w:t>that was supposed to guide the development of the seed industry</w:t>
      </w:r>
      <w:r w:rsidR="00611854" w:rsidRPr="0025118A">
        <w:rPr>
          <w:lang w:val="en-GB"/>
        </w:rPr>
        <w:t xml:space="preserve"> was not</w:t>
      </w:r>
      <w:r w:rsidR="00A05DC8" w:rsidRPr="0025118A">
        <w:rPr>
          <w:lang w:val="en-GB"/>
        </w:rPr>
        <w:t xml:space="preserve"> established</w:t>
      </w:r>
      <w:r w:rsidR="00611854" w:rsidRPr="0025118A">
        <w:rPr>
          <w:lang w:val="en-GB"/>
        </w:rPr>
        <w:t>.</w:t>
      </w:r>
      <w:r w:rsidR="00A05DC8" w:rsidRPr="0025118A">
        <w:rPr>
          <w:lang w:val="en-GB"/>
        </w:rPr>
        <w:t xml:space="preserve"> </w:t>
      </w:r>
      <w:r w:rsidR="00A82CBA" w:rsidRPr="0025118A">
        <w:rPr>
          <w:lang w:val="en-GB"/>
        </w:rPr>
        <w:t xml:space="preserve">A working group </w:t>
      </w:r>
      <w:r w:rsidR="00FE46BD" w:rsidRPr="0025118A">
        <w:rPr>
          <w:lang w:val="en-GB"/>
        </w:rPr>
        <w:t>from the National Seed Council drafted</w:t>
      </w:r>
      <w:r w:rsidR="00A82CBA" w:rsidRPr="0025118A">
        <w:rPr>
          <w:lang w:val="en-GB"/>
        </w:rPr>
        <w:t xml:space="preserve"> a new </w:t>
      </w:r>
      <w:r w:rsidR="001C0D48" w:rsidRPr="0025118A">
        <w:rPr>
          <w:lang w:val="en-GB"/>
        </w:rPr>
        <w:t xml:space="preserve">Plant </w:t>
      </w:r>
      <w:r w:rsidR="005F4E9C">
        <w:rPr>
          <w:lang w:val="en-GB"/>
        </w:rPr>
        <w:t>V</w:t>
      </w:r>
      <w:r w:rsidR="001C0D48" w:rsidRPr="0025118A">
        <w:rPr>
          <w:lang w:val="en-GB"/>
        </w:rPr>
        <w:t xml:space="preserve">ariety </w:t>
      </w:r>
      <w:r w:rsidR="005F4E9C">
        <w:rPr>
          <w:lang w:val="en-GB"/>
        </w:rPr>
        <w:t>P</w:t>
      </w:r>
      <w:r w:rsidR="001C0D48" w:rsidRPr="0025118A">
        <w:rPr>
          <w:lang w:val="en-GB"/>
        </w:rPr>
        <w:t xml:space="preserve">rotection </w:t>
      </w:r>
      <w:r w:rsidR="005F4E9C">
        <w:rPr>
          <w:lang w:val="en-GB"/>
        </w:rPr>
        <w:t>L</w:t>
      </w:r>
      <w:r w:rsidR="001C0D48" w:rsidRPr="0025118A">
        <w:rPr>
          <w:lang w:val="en-GB"/>
        </w:rPr>
        <w:t>aw</w:t>
      </w:r>
      <w:r w:rsidR="004A5ABB">
        <w:rPr>
          <w:rStyle w:val="FootnoteReference"/>
          <w:lang w:val="en-GB"/>
        </w:rPr>
        <w:footnoteReference w:id="18"/>
      </w:r>
      <w:r w:rsidR="001C0D48" w:rsidRPr="0025118A">
        <w:rPr>
          <w:lang w:val="en-GB"/>
        </w:rPr>
        <w:t xml:space="preserve"> and a Seed </w:t>
      </w:r>
      <w:r w:rsidR="005F4E9C">
        <w:rPr>
          <w:lang w:val="en-GB"/>
        </w:rPr>
        <w:t>L</w:t>
      </w:r>
      <w:r w:rsidR="001C0D48" w:rsidRPr="0025118A">
        <w:rPr>
          <w:lang w:val="en-GB"/>
        </w:rPr>
        <w:t>aw</w:t>
      </w:r>
      <w:r w:rsidR="00FE46BD" w:rsidRPr="0025118A">
        <w:rPr>
          <w:lang w:val="en-GB"/>
        </w:rPr>
        <w:t xml:space="preserve"> </w:t>
      </w:r>
      <w:r w:rsidR="00A82CBA" w:rsidRPr="0025118A">
        <w:rPr>
          <w:lang w:val="en-GB"/>
        </w:rPr>
        <w:t xml:space="preserve">but </w:t>
      </w:r>
      <w:r w:rsidR="001C0D48" w:rsidRPr="0025118A">
        <w:rPr>
          <w:lang w:val="en-GB"/>
        </w:rPr>
        <w:t>their</w:t>
      </w:r>
      <w:r w:rsidR="00A82CBA" w:rsidRPr="0025118A">
        <w:rPr>
          <w:lang w:val="en-GB"/>
        </w:rPr>
        <w:t xml:space="preserve"> approval by the Minister of Justice was pending at</w:t>
      </w:r>
      <w:r w:rsidR="00611854" w:rsidRPr="0025118A">
        <w:rPr>
          <w:lang w:val="en-GB"/>
        </w:rPr>
        <w:t xml:space="preserve"> the time of the project completion</w:t>
      </w:r>
      <w:r w:rsidR="00A82CBA" w:rsidRPr="0025118A">
        <w:rPr>
          <w:lang w:val="en-GB"/>
        </w:rPr>
        <w:t xml:space="preserve"> mission</w:t>
      </w:r>
      <w:r w:rsidR="00611854" w:rsidRPr="0025118A">
        <w:rPr>
          <w:lang w:val="en-GB"/>
        </w:rPr>
        <w:t xml:space="preserve">. </w:t>
      </w:r>
      <w:r w:rsidR="00A82CBA" w:rsidRPr="0025118A">
        <w:rPr>
          <w:lang w:val="en-GB"/>
        </w:rPr>
        <w:t>Discussions during the CSPE mission with the private sector</w:t>
      </w:r>
      <w:r w:rsidR="00C10E06">
        <w:rPr>
          <w:lang w:val="en-GB"/>
        </w:rPr>
        <w:t xml:space="preserve"> partners</w:t>
      </w:r>
      <w:r w:rsidR="00A82CBA" w:rsidRPr="0025118A">
        <w:rPr>
          <w:lang w:val="en-GB"/>
        </w:rPr>
        <w:t xml:space="preserve"> involved in SDP indicated that the law was still awaiting for the approval and </w:t>
      </w:r>
      <w:r w:rsidR="00FE46BD" w:rsidRPr="0025118A">
        <w:rPr>
          <w:lang w:val="en-GB"/>
        </w:rPr>
        <w:t xml:space="preserve">some private companies were </w:t>
      </w:r>
      <w:r w:rsidR="00A82CBA" w:rsidRPr="0025118A">
        <w:rPr>
          <w:lang w:val="en-GB"/>
        </w:rPr>
        <w:t>follow</w:t>
      </w:r>
      <w:r w:rsidR="00A05DC8" w:rsidRPr="0025118A">
        <w:rPr>
          <w:lang w:val="en-GB"/>
        </w:rPr>
        <w:t>ing</w:t>
      </w:r>
      <w:r w:rsidR="00A82CBA" w:rsidRPr="0025118A">
        <w:rPr>
          <w:lang w:val="en-GB"/>
        </w:rPr>
        <w:t xml:space="preserve"> </w:t>
      </w:r>
      <w:r w:rsidR="00FE46BD" w:rsidRPr="0025118A">
        <w:rPr>
          <w:lang w:val="en-GB"/>
        </w:rPr>
        <w:t>this matter</w:t>
      </w:r>
      <w:r w:rsidR="00A82CBA" w:rsidRPr="0025118A">
        <w:rPr>
          <w:lang w:val="en-GB"/>
        </w:rPr>
        <w:t xml:space="preserve">. </w:t>
      </w:r>
      <w:r w:rsidR="00FE46BD" w:rsidRPr="0025118A">
        <w:rPr>
          <w:lang w:val="en-GB"/>
        </w:rPr>
        <w:t xml:space="preserve">The Central Seed Testing Laboratory of FSA </w:t>
      </w:r>
      <w:proofErr w:type="gramStart"/>
      <w:r w:rsidR="00FE46BD" w:rsidRPr="0025118A">
        <w:rPr>
          <w:lang w:val="en-GB"/>
        </w:rPr>
        <w:t>was fully renovated</w:t>
      </w:r>
      <w:proofErr w:type="gramEnd"/>
      <w:r w:rsidR="009469F5">
        <w:rPr>
          <w:lang w:val="en-GB"/>
        </w:rPr>
        <w:t xml:space="preserve"> and its staff members were trained</w:t>
      </w:r>
      <w:r w:rsidR="00FE46BD" w:rsidRPr="0025118A">
        <w:rPr>
          <w:lang w:val="en-GB"/>
        </w:rPr>
        <w:t xml:space="preserve"> </w:t>
      </w:r>
      <w:r w:rsidR="009469F5">
        <w:rPr>
          <w:lang w:val="en-GB"/>
        </w:rPr>
        <w:t xml:space="preserve">to conduct quality control and seed certification </w:t>
      </w:r>
      <w:r w:rsidR="00FE46BD" w:rsidRPr="00E11327">
        <w:rPr>
          <w:lang w:val="en-GB"/>
        </w:rPr>
        <w:t xml:space="preserve">but </w:t>
      </w:r>
      <w:r w:rsidR="00CF07B4" w:rsidRPr="00E11327">
        <w:rPr>
          <w:lang w:val="en-GB"/>
        </w:rPr>
        <w:t xml:space="preserve">delays in </w:t>
      </w:r>
      <w:r w:rsidR="00FE46BD" w:rsidRPr="00E11327">
        <w:rPr>
          <w:lang w:val="en-GB"/>
        </w:rPr>
        <w:t>the</w:t>
      </w:r>
      <w:r w:rsidR="00CF07B4" w:rsidRPr="00E11327">
        <w:rPr>
          <w:lang w:val="en-GB"/>
        </w:rPr>
        <w:t xml:space="preserve"> supply of</w:t>
      </w:r>
      <w:r w:rsidR="00FE46BD" w:rsidRPr="00E11327">
        <w:rPr>
          <w:lang w:val="en-GB"/>
        </w:rPr>
        <w:t xml:space="preserve"> equipment, </w:t>
      </w:r>
      <w:r w:rsidR="00AF7D61" w:rsidRPr="00E11327">
        <w:rPr>
          <w:lang w:val="en-GB"/>
        </w:rPr>
        <w:t xml:space="preserve">hindered </w:t>
      </w:r>
      <w:r w:rsidR="00FE46BD" w:rsidRPr="00E11327">
        <w:rPr>
          <w:lang w:val="en-GB"/>
        </w:rPr>
        <w:t>t</w:t>
      </w:r>
      <w:r w:rsidR="00611854" w:rsidRPr="00E11327">
        <w:rPr>
          <w:lang w:val="en-GB"/>
        </w:rPr>
        <w:t>he full accreditation of the FSA</w:t>
      </w:r>
      <w:r w:rsidR="00447906" w:rsidRPr="00E11327">
        <w:rPr>
          <w:lang w:val="en-GB"/>
        </w:rPr>
        <w:t xml:space="preserve"> by the</w:t>
      </w:r>
      <w:r w:rsidR="00611854" w:rsidRPr="00E11327">
        <w:rPr>
          <w:lang w:val="en-GB"/>
        </w:rPr>
        <w:t xml:space="preserve"> </w:t>
      </w:r>
      <w:r w:rsidR="00447906" w:rsidRPr="00E11327">
        <w:rPr>
          <w:lang w:val="en-GB"/>
        </w:rPr>
        <w:t xml:space="preserve">International </w:t>
      </w:r>
      <w:r w:rsidR="005F4E9C" w:rsidRPr="00E11327">
        <w:rPr>
          <w:lang w:val="en-GB"/>
        </w:rPr>
        <w:t>S</w:t>
      </w:r>
      <w:r w:rsidR="00447906" w:rsidRPr="00E11327">
        <w:rPr>
          <w:lang w:val="en-GB"/>
        </w:rPr>
        <w:t xml:space="preserve">eed </w:t>
      </w:r>
      <w:r w:rsidR="005F4E9C" w:rsidRPr="00E11327">
        <w:rPr>
          <w:lang w:val="en-GB"/>
        </w:rPr>
        <w:t>T</w:t>
      </w:r>
      <w:r w:rsidR="00447906" w:rsidRPr="00E11327">
        <w:rPr>
          <w:lang w:val="en-GB"/>
        </w:rPr>
        <w:t xml:space="preserve">esting </w:t>
      </w:r>
      <w:r w:rsidR="005F4E9C" w:rsidRPr="00E11327">
        <w:rPr>
          <w:lang w:val="en-GB"/>
        </w:rPr>
        <w:t>A</w:t>
      </w:r>
      <w:r w:rsidR="00447906" w:rsidRPr="00E11327">
        <w:rPr>
          <w:lang w:val="en-GB"/>
        </w:rPr>
        <w:t>ssociation</w:t>
      </w:r>
      <w:r w:rsidR="005F4E9C" w:rsidRPr="00E11327">
        <w:rPr>
          <w:lang w:val="en-GB"/>
        </w:rPr>
        <w:t xml:space="preserve"> (ISTA)</w:t>
      </w:r>
      <w:r w:rsidR="00AF7D61" w:rsidRPr="00E11327">
        <w:rPr>
          <w:lang w:val="en-GB"/>
        </w:rPr>
        <w:t>.</w:t>
      </w:r>
      <w:r w:rsidR="00611854" w:rsidRPr="0025118A">
        <w:rPr>
          <w:lang w:val="en-GB"/>
        </w:rPr>
        <w:t xml:space="preserve"> </w:t>
      </w:r>
    </w:p>
    <w:p w:rsidR="00CC05B1" w:rsidRDefault="005407E6" w:rsidP="00FE7E9D">
      <w:pPr>
        <w:pStyle w:val="ListParagraph"/>
        <w:numPr>
          <w:ilvl w:val="0"/>
          <w:numId w:val="10"/>
        </w:numPr>
        <w:spacing w:after="120"/>
        <w:ind w:left="567" w:hanging="567"/>
        <w:contextualSpacing w:val="0"/>
        <w:rPr>
          <w:lang w:val="en-GB"/>
        </w:rPr>
      </w:pPr>
      <w:r w:rsidRPr="000236D2">
        <w:rPr>
          <w:b/>
          <w:bCs/>
          <w:lang w:val="en-GB"/>
        </w:rPr>
        <w:t>Component</w:t>
      </w:r>
      <w:r w:rsidR="00A22AC7" w:rsidRPr="000236D2">
        <w:rPr>
          <w:b/>
          <w:bCs/>
          <w:lang w:val="en-GB"/>
        </w:rPr>
        <w:t xml:space="preserve"> </w:t>
      </w:r>
      <w:proofErr w:type="gramStart"/>
      <w:r w:rsidR="00A22AC7" w:rsidRPr="000236D2">
        <w:rPr>
          <w:b/>
          <w:bCs/>
          <w:lang w:val="en-GB"/>
        </w:rPr>
        <w:t>2</w:t>
      </w:r>
      <w:proofErr w:type="gramEnd"/>
      <w:r w:rsidR="004A5ABB" w:rsidRPr="000236D2">
        <w:rPr>
          <w:b/>
          <w:bCs/>
          <w:lang w:val="en-GB"/>
        </w:rPr>
        <w:t>.</w:t>
      </w:r>
      <w:r w:rsidR="00006360" w:rsidRPr="000236D2">
        <w:rPr>
          <w:b/>
          <w:bCs/>
          <w:lang w:val="en-GB"/>
        </w:rPr>
        <w:t xml:space="preserve"> </w:t>
      </w:r>
      <w:r w:rsidRPr="000236D2">
        <w:rPr>
          <w:b/>
          <w:bCs/>
          <w:lang w:val="en-GB"/>
        </w:rPr>
        <w:t>Improvement of the seed production system</w:t>
      </w:r>
      <w:r w:rsidR="00264EC1" w:rsidRPr="000236D2">
        <w:rPr>
          <w:b/>
          <w:bCs/>
          <w:lang w:val="en-GB"/>
        </w:rPr>
        <w:t>.</w:t>
      </w:r>
      <w:r w:rsidRPr="000236D2">
        <w:rPr>
          <w:lang w:val="en-GB"/>
        </w:rPr>
        <w:t xml:space="preserve"> </w:t>
      </w:r>
      <w:r w:rsidR="003A7833">
        <w:rPr>
          <w:lang w:val="en-GB"/>
        </w:rPr>
        <w:t>The project supported the ARC to conduct</w:t>
      </w:r>
      <w:r w:rsidR="004D4A40" w:rsidRPr="000236D2">
        <w:rPr>
          <w:lang w:val="en-GB"/>
        </w:rPr>
        <w:t xml:space="preserve"> a participatory research approach involving farmers, extension workers and researchers from the ARC</w:t>
      </w:r>
      <w:r w:rsidR="003A7833">
        <w:rPr>
          <w:lang w:val="en-GB"/>
        </w:rPr>
        <w:t>.</w:t>
      </w:r>
      <w:r w:rsidR="004D4A40" w:rsidRPr="000236D2">
        <w:rPr>
          <w:lang w:val="en-GB"/>
        </w:rPr>
        <w:t xml:space="preserve"> </w:t>
      </w:r>
      <w:r w:rsidR="00CC05B1">
        <w:rPr>
          <w:lang w:val="en-GB"/>
        </w:rPr>
        <w:t xml:space="preserve">The PCR reports that </w:t>
      </w:r>
      <w:r w:rsidR="004D4A40" w:rsidRPr="000236D2">
        <w:rPr>
          <w:lang w:val="en-GB"/>
        </w:rPr>
        <w:t>around ten new varieties of seed</w:t>
      </w:r>
      <w:r w:rsidR="00EC52A5">
        <w:rPr>
          <w:rStyle w:val="FootnoteReference"/>
          <w:lang w:val="en-GB"/>
        </w:rPr>
        <w:footnoteReference w:id="19"/>
      </w:r>
      <w:r w:rsidR="004D4A40" w:rsidRPr="000236D2">
        <w:rPr>
          <w:lang w:val="en-GB"/>
        </w:rPr>
        <w:t xml:space="preserve"> </w:t>
      </w:r>
      <w:proofErr w:type="gramStart"/>
      <w:r w:rsidR="004D4A40" w:rsidRPr="000236D2">
        <w:rPr>
          <w:lang w:val="en-GB"/>
        </w:rPr>
        <w:t xml:space="preserve">were validated </w:t>
      </w:r>
      <w:r w:rsidR="00CC05B1">
        <w:rPr>
          <w:lang w:val="en-GB"/>
        </w:rPr>
        <w:t xml:space="preserve">and released </w:t>
      </w:r>
      <w:r w:rsidR="004D4A40" w:rsidRPr="000236D2">
        <w:rPr>
          <w:lang w:val="en-GB"/>
        </w:rPr>
        <w:t xml:space="preserve">by the National </w:t>
      </w:r>
      <w:r w:rsidR="005F4E9C">
        <w:rPr>
          <w:lang w:val="en-GB"/>
        </w:rPr>
        <w:t>V</w:t>
      </w:r>
      <w:r w:rsidR="004D4A40" w:rsidRPr="000236D2">
        <w:rPr>
          <w:lang w:val="en-GB"/>
        </w:rPr>
        <w:t xml:space="preserve">ariety </w:t>
      </w:r>
      <w:r w:rsidR="005F4E9C">
        <w:rPr>
          <w:lang w:val="en-GB"/>
        </w:rPr>
        <w:t>R</w:t>
      </w:r>
      <w:r w:rsidR="004D4A40" w:rsidRPr="000236D2">
        <w:rPr>
          <w:lang w:val="en-GB"/>
        </w:rPr>
        <w:t xml:space="preserve">elease </w:t>
      </w:r>
      <w:r w:rsidR="005F4E9C">
        <w:rPr>
          <w:lang w:val="en-GB"/>
        </w:rPr>
        <w:t>C</w:t>
      </w:r>
      <w:r w:rsidR="004D4A40" w:rsidRPr="000236D2">
        <w:rPr>
          <w:lang w:val="en-GB"/>
        </w:rPr>
        <w:t>ommittee</w:t>
      </w:r>
      <w:r w:rsidR="00CC05B1">
        <w:rPr>
          <w:lang w:val="en-GB"/>
        </w:rPr>
        <w:t>, including one for hibiscus</w:t>
      </w:r>
      <w:proofErr w:type="gramEnd"/>
      <w:r w:rsidR="00CC05B1">
        <w:rPr>
          <w:lang w:val="en-GB"/>
        </w:rPr>
        <w:t xml:space="preserve"> named</w:t>
      </w:r>
      <w:r w:rsidR="00BD313C" w:rsidRPr="00482046">
        <w:rPr>
          <w:lang w:val="en-GB"/>
        </w:rPr>
        <w:t xml:space="preserve"> </w:t>
      </w:r>
      <w:r w:rsidR="00BD313C" w:rsidRPr="00482046">
        <w:rPr>
          <w:i/>
          <w:iCs/>
          <w:lang w:val="en-GB"/>
        </w:rPr>
        <w:t>IFAD</w:t>
      </w:r>
      <w:r w:rsidR="00BD313C" w:rsidRPr="00482046">
        <w:rPr>
          <w:lang w:val="en-GB"/>
        </w:rPr>
        <w:t xml:space="preserve"> variety as recognition of the IFAD support to the research programme of ARC.</w:t>
      </w:r>
      <w:r w:rsidR="00BD313C">
        <w:rPr>
          <w:rStyle w:val="FootnoteReference"/>
          <w:lang w:val="en-GB"/>
        </w:rPr>
        <w:footnoteReference w:id="20"/>
      </w:r>
      <w:r w:rsidR="00BD313C" w:rsidRPr="000236D2">
        <w:rPr>
          <w:lang w:val="en-GB"/>
        </w:rPr>
        <w:t xml:space="preserve"> </w:t>
      </w:r>
      <w:r w:rsidR="00FE7E9D">
        <w:rPr>
          <w:lang w:val="en-GB"/>
        </w:rPr>
        <w:t>However, the</w:t>
      </w:r>
      <w:r w:rsidR="00CC05B1">
        <w:rPr>
          <w:lang w:val="en-GB"/>
        </w:rPr>
        <w:t xml:space="preserve"> linkages between the development of these varieties and the participatory research </w:t>
      </w:r>
      <w:r w:rsidR="00FE7E9D">
        <w:rPr>
          <w:lang w:val="en-GB"/>
        </w:rPr>
        <w:t>supported/</w:t>
      </w:r>
      <w:r w:rsidR="00CC05B1">
        <w:rPr>
          <w:lang w:val="en-GB"/>
        </w:rPr>
        <w:t>promoted by SDP are not entirely clear</w:t>
      </w:r>
      <w:r w:rsidR="00CC05B1" w:rsidRPr="00FE7E9D">
        <w:rPr>
          <w:lang w:val="en-GB"/>
        </w:rPr>
        <w:t>.</w:t>
      </w:r>
      <w:r w:rsidR="00FE7E9D" w:rsidRPr="00FE7E9D">
        <w:rPr>
          <w:rFonts w:cstheme="minorBidi"/>
        </w:rPr>
        <w:t xml:space="preserve"> </w:t>
      </w:r>
      <w:r w:rsidR="00FE7E9D">
        <w:rPr>
          <w:rFonts w:cstheme="minorBidi"/>
        </w:rPr>
        <w:t xml:space="preserve">The October 2017 supervision mission reported </w:t>
      </w:r>
      <w:proofErr w:type="gramStart"/>
      <w:r w:rsidR="00FE7E9D">
        <w:rPr>
          <w:rFonts w:cstheme="minorBidi"/>
        </w:rPr>
        <w:t>that</w:t>
      </w:r>
      <w:proofErr w:type="gramEnd"/>
      <w:r w:rsidR="00FE7E9D">
        <w:rPr>
          <w:rFonts w:cstheme="minorBidi"/>
        </w:rPr>
        <w:t xml:space="preserve"> “</w:t>
      </w:r>
      <w:r w:rsidR="00FE7E9D" w:rsidRPr="00FE7E9D">
        <w:rPr>
          <w:rFonts w:cstheme="minorBidi"/>
        </w:rPr>
        <w:t xml:space="preserve">the ARC’s work is still not linked to the SDP demo and </w:t>
      </w:r>
      <w:r w:rsidR="00FE7E9D">
        <w:rPr>
          <w:rFonts w:cstheme="minorBidi"/>
        </w:rPr>
        <w:t>PSC demo sites” but that “</w:t>
      </w:r>
      <w:r w:rsidR="00FE7E9D" w:rsidRPr="00FE7E9D">
        <w:rPr>
          <w:rFonts w:cstheme="minorBidi"/>
        </w:rPr>
        <w:t>ARC has produced the participatory research manual</w:t>
      </w:r>
      <w:r w:rsidR="00FE7E9D" w:rsidRPr="004A6AE2">
        <w:rPr>
          <w:rFonts w:asciiTheme="minorBidi" w:hAnsiTheme="minorBidi" w:cstheme="minorBidi"/>
        </w:rPr>
        <w:t>.</w:t>
      </w:r>
      <w:r w:rsidR="00FE7E9D">
        <w:rPr>
          <w:rFonts w:asciiTheme="minorBidi" w:hAnsiTheme="minorBidi" w:cstheme="minorBidi"/>
        </w:rPr>
        <w:t xml:space="preserve">” </w:t>
      </w:r>
      <w:r w:rsidR="00FE7E9D" w:rsidRPr="004A6AE2">
        <w:rPr>
          <w:rFonts w:asciiTheme="minorBidi" w:hAnsiTheme="minorBidi" w:cstheme="minorBidi"/>
        </w:rPr>
        <w:t xml:space="preserve"> </w:t>
      </w:r>
      <w:r w:rsidR="00CC05B1">
        <w:rPr>
          <w:lang w:val="en-GB"/>
        </w:rPr>
        <w:t xml:space="preserve"> </w:t>
      </w:r>
    </w:p>
    <w:p w:rsidR="0025118A" w:rsidRDefault="00006360" w:rsidP="000C35DE">
      <w:pPr>
        <w:pStyle w:val="ListParagraph"/>
        <w:numPr>
          <w:ilvl w:val="0"/>
          <w:numId w:val="10"/>
        </w:numPr>
        <w:spacing w:after="120"/>
        <w:ind w:left="567" w:hanging="567"/>
        <w:contextualSpacing w:val="0"/>
        <w:rPr>
          <w:lang w:val="en-GB"/>
        </w:rPr>
      </w:pPr>
      <w:r w:rsidRPr="000236D2">
        <w:rPr>
          <w:lang w:val="en-GB"/>
        </w:rPr>
        <w:t xml:space="preserve">The partnerships between the ARC and the </w:t>
      </w:r>
      <w:r w:rsidR="00140E91" w:rsidRPr="000236D2">
        <w:rPr>
          <w:lang w:val="en-GB"/>
        </w:rPr>
        <w:t>PSCs</w:t>
      </w:r>
      <w:r w:rsidRPr="000236D2">
        <w:rPr>
          <w:lang w:val="en-GB"/>
        </w:rPr>
        <w:t xml:space="preserve"> contributed to the production of certified seeds that </w:t>
      </w:r>
      <w:r w:rsidRPr="00C4602F">
        <w:rPr>
          <w:lang w:val="en-GB"/>
        </w:rPr>
        <w:t>represented 125 per cent of target</w:t>
      </w:r>
      <w:r w:rsidR="00A22AC7" w:rsidRPr="00C4602F">
        <w:rPr>
          <w:lang w:val="en-GB"/>
        </w:rPr>
        <w:t xml:space="preserve"> (489 </w:t>
      </w:r>
      <w:r w:rsidR="00DE262B" w:rsidRPr="00C4602F">
        <w:rPr>
          <w:lang w:val="en-GB"/>
        </w:rPr>
        <w:t>Mt</w:t>
      </w:r>
      <w:r w:rsidR="00A22AC7" w:rsidRPr="00C4602F">
        <w:rPr>
          <w:lang w:val="en-GB"/>
        </w:rPr>
        <w:t xml:space="preserve"> compared to 400 </w:t>
      </w:r>
      <w:r w:rsidR="00DE262B" w:rsidRPr="00C4602F">
        <w:rPr>
          <w:lang w:val="en-GB"/>
        </w:rPr>
        <w:t>Mt</w:t>
      </w:r>
      <w:r w:rsidR="00A22AC7" w:rsidRPr="00C4602F">
        <w:rPr>
          <w:lang w:val="en-GB"/>
        </w:rPr>
        <w:t>)</w:t>
      </w:r>
      <w:r w:rsidRPr="00C4602F">
        <w:rPr>
          <w:lang w:val="en-GB"/>
        </w:rPr>
        <w:t>.</w:t>
      </w:r>
      <w:r w:rsidR="00234507" w:rsidRPr="00C4602F">
        <w:rPr>
          <w:lang w:val="en-GB"/>
        </w:rPr>
        <w:t xml:space="preserve"> </w:t>
      </w:r>
      <w:r w:rsidR="00DA4748">
        <w:rPr>
          <w:lang w:val="en-GB"/>
        </w:rPr>
        <w:t>T</w:t>
      </w:r>
      <w:r w:rsidR="00E11327" w:rsidRPr="00C4602F">
        <w:rPr>
          <w:lang w:val="en-GB"/>
        </w:rPr>
        <w:t>he PCR</w:t>
      </w:r>
      <w:r w:rsidR="00DA4748">
        <w:rPr>
          <w:lang w:val="en-GB"/>
        </w:rPr>
        <w:t xml:space="preserve"> reported that</w:t>
      </w:r>
      <w:r w:rsidR="00E11327" w:rsidRPr="00C4602F">
        <w:rPr>
          <w:lang w:val="en-GB"/>
        </w:rPr>
        <w:t xml:space="preserve"> 17</w:t>
      </w:r>
      <w:r w:rsidR="00234507" w:rsidRPr="00C4602F">
        <w:rPr>
          <w:lang w:val="en-GB"/>
        </w:rPr>
        <w:t xml:space="preserve"> SGGs</w:t>
      </w:r>
      <w:r w:rsidR="00C34F04" w:rsidRPr="00C4602F">
        <w:rPr>
          <w:lang w:val="en-GB"/>
        </w:rPr>
        <w:t xml:space="preserve"> (853 farmers</w:t>
      </w:r>
      <w:r w:rsidR="00E11327" w:rsidRPr="00C4602F">
        <w:rPr>
          <w:lang w:val="en-GB"/>
        </w:rPr>
        <w:t xml:space="preserve"> – who were also GPG members</w:t>
      </w:r>
      <w:r w:rsidR="00C34F04" w:rsidRPr="00C4602F">
        <w:rPr>
          <w:lang w:val="en-GB"/>
        </w:rPr>
        <w:t>)</w:t>
      </w:r>
      <w:r w:rsidR="00234507" w:rsidRPr="00C4602F">
        <w:rPr>
          <w:lang w:val="en-GB"/>
        </w:rPr>
        <w:t xml:space="preserve"> were established and trained</w:t>
      </w:r>
      <w:r w:rsidR="00C4602F">
        <w:rPr>
          <w:lang w:val="en-GB"/>
        </w:rPr>
        <w:t xml:space="preserve"> and</w:t>
      </w:r>
      <w:r w:rsidR="005F4E9C" w:rsidRPr="00C4602F">
        <w:rPr>
          <w:lang w:val="en-GB"/>
        </w:rPr>
        <w:t xml:space="preserve"> were</w:t>
      </w:r>
      <w:r w:rsidR="000236D2" w:rsidRPr="00C4602F">
        <w:rPr>
          <w:lang w:val="en-GB"/>
        </w:rPr>
        <w:t xml:space="preserve"> linked to </w:t>
      </w:r>
      <w:r w:rsidR="005F4E9C" w:rsidRPr="00C4602F">
        <w:rPr>
          <w:lang w:val="en-GB"/>
        </w:rPr>
        <w:t>PSCs</w:t>
      </w:r>
      <w:r w:rsidR="000236D2" w:rsidRPr="00C4602F">
        <w:rPr>
          <w:lang w:val="en-GB"/>
        </w:rPr>
        <w:t xml:space="preserve"> and to the FSA for </w:t>
      </w:r>
      <w:r w:rsidR="00234507" w:rsidRPr="00C4602F">
        <w:rPr>
          <w:lang w:val="en-GB"/>
        </w:rPr>
        <w:t>the certification of seeds and 4</w:t>
      </w:r>
      <w:r w:rsidR="005F4E9C" w:rsidRPr="00C4602F">
        <w:rPr>
          <w:lang w:val="en-GB"/>
        </w:rPr>
        <w:t>,</w:t>
      </w:r>
      <w:r w:rsidR="00234507" w:rsidRPr="00C4602F">
        <w:rPr>
          <w:lang w:val="en-GB"/>
        </w:rPr>
        <w:t xml:space="preserve">451 </w:t>
      </w:r>
      <w:proofErr w:type="spellStart"/>
      <w:r w:rsidR="00234507" w:rsidRPr="00C4602F">
        <w:rPr>
          <w:lang w:val="en-GB"/>
        </w:rPr>
        <w:t>feddan</w:t>
      </w:r>
      <w:r w:rsidR="0091004F" w:rsidRPr="00C4602F">
        <w:rPr>
          <w:lang w:val="en-GB"/>
        </w:rPr>
        <w:t>s</w:t>
      </w:r>
      <w:proofErr w:type="spellEnd"/>
      <w:r w:rsidR="00234507" w:rsidRPr="00C4602F">
        <w:rPr>
          <w:lang w:val="en-GB"/>
        </w:rPr>
        <w:t xml:space="preserve"> were under seed production by the groups.</w:t>
      </w:r>
      <w:r w:rsidR="00234507" w:rsidRPr="00C4602F">
        <w:rPr>
          <w:rStyle w:val="FootnoteReference"/>
          <w:lang w:val="en-GB"/>
        </w:rPr>
        <w:footnoteReference w:id="21"/>
      </w:r>
      <w:r w:rsidR="00BD313C" w:rsidRPr="00C4602F">
        <w:rPr>
          <w:lang w:val="en-GB"/>
        </w:rPr>
        <w:t xml:space="preserve"> </w:t>
      </w:r>
      <w:r w:rsidR="00C4602F">
        <w:rPr>
          <w:lang w:val="en-GB"/>
        </w:rPr>
        <w:t xml:space="preserve">However, </w:t>
      </w:r>
      <w:r w:rsidR="00985D73">
        <w:rPr>
          <w:lang w:val="en-GB"/>
        </w:rPr>
        <w:t xml:space="preserve">based on the exchange with the </w:t>
      </w:r>
      <w:r w:rsidR="00C4602F">
        <w:rPr>
          <w:lang w:val="en-GB"/>
        </w:rPr>
        <w:t>previous project staff</w:t>
      </w:r>
      <w:r w:rsidR="00985D73">
        <w:rPr>
          <w:lang w:val="en-GB"/>
        </w:rPr>
        <w:t xml:space="preserve">, it emerges that the number of SGGs (17) and growers (853) was the sum of those that produced seeds during the project life including those that were no longer active: it </w:t>
      </w:r>
      <w:proofErr w:type="gramStart"/>
      <w:r w:rsidR="00985D73">
        <w:rPr>
          <w:lang w:val="en-GB"/>
        </w:rPr>
        <w:t>was reported</w:t>
      </w:r>
      <w:proofErr w:type="gramEnd"/>
      <w:r w:rsidR="00985D73">
        <w:rPr>
          <w:lang w:val="en-GB"/>
        </w:rPr>
        <w:t xml:space="preserve"> that only 141 farmers in </w:t>
      </w:r>
      <w:r w:rsidR="00BD5F4F">
        <w:rPr>
          <w:lang w:val="en-GB"/>
        </w:rPr>
        <w:t>six</w:t>
      </w:r>
      <w:r w:rsidR="00985D73">
        <w:rPr>
          <w:lang w:val="en-GB"/>
        </w:rPr>
        <w:t xml:space="preserve"> SGGs continued up to completion.</w:t>
      </w:r>
      <w:r w:rsidR="00DA4748">
        <w:rPr>
          <w:rStyle w:val="FootnoteReference"/>
          <w:lang w:val="en-GB"/>
        </w:rPr>
        <w:footnoteReference w:id="22"/>
      </w:r>
      <w:r w:rsidR="00985D73">
        <w:rPr>
          <w:lang w:val="en-GB"/>
        </w:rPr>
        <w:t xml:space="preserve"> This is in fact consistent with earlier supervision mission reports</w:t>
      </w:r>
      <w:r w:rsidR="00055D24">
        <w:rPr>
          <w:lang w:val="en-GB"/>
        </w:rPr>
        <w:t>,</w:t>
      </w:r>
      <w:r w:rsidR="00985D73">
        <w:rPr>
          <w:lang w:val="en-GB"/>
        </w:rPr>
        <w:t xml:space="preserve"> which indicated high </w:t>
      </w:r>
      <w:proofErr w:type="gramStart"/>
      <w:r w:rsidR="00985D73">
        <w:rPr>
          <w:lang w:val="en-GB"/>
        </w:rPr>
        <w:t>drop-out</w:t>
      </w:r>
      <w:proofErr w:type="gramEnd"/>
      <w:r w:rsidR="00985D73">
        <w:rPr>
          <w:lang w:val="en-GB"/>
        </w:rPr>
        <w:t xml:space="preserve"> rates for seed growers. Furthermore, the area under seed production (4,451 </w:t>
      </w:r>
      <w:proofErr w:type="spellStart"/>
      <w:r w:rsidR="00985D73">
        <w:rPr>
          <w:lang w:val="en-GB"/>
        </w:rPr>
        <w:t>feddans</w:t>
      </w:r>
      <w:proofErr w:type="spellEnd"/>
      <w:r w:rsidR="00985D73">
        <w:rPr>
          <w:lang w:val="en-GB"/>
        </w:rPr>
        <w:t xml:space="preserve">) </w:t>
      </w:r>
      <w:proofErr w:type="gramStart"/>
      <w:r w:rsidR="00985D73">
        <w:rPr>
          <w:lang w:val="en-GB"/>
        </w:rPr>
        <w:t>is understood</w:t>
      </w:r>
      <w:proofErr w:type="gramEnd"/>
      <w:r w:rsidR="00985D73">
        <w:rPr>
          <w:lang w:val="en-GB"/>
        </w:rPr>
        <w:t xml:space="preserve"> to be a cumulative figure over years and not a snapshot at completion. </w:t>
      </w:r>
    </w:p>
    <w:p w:rsidR="00093D76" w:rsidRPr="00BE1DC2" w:rsidRDefault="00264EC1" w:rsidP="00DA4748">
      <w:pPr>
        <w:pStyle w:val="ListParagraph"/>
        <w:numPr>
          <w:ilvl w:val="0"/>
          <w:numId w:val="10"/>
        </w:numPr>
        <w:spacing w:after="120"/>
        <w:ind w:left="567" w:hanging="567"/>
        <w:contextualSpacing w:val="0"/>
      </w:pPr>
      <w:r w:rsidRPr="008564A0">
        <w:rPr>
          <w:b/>
          <w:bCs/>
          <w:lang w:val="en-GB"/>
        </w:rPr>
        <w:t>Component</w:t>
      </w:r>
      <w:r w:rsidR="00A22AC7" w:rsidRPr="008564A0">
        <w:rPr>
          <w:b/>
          <w:bCs/>
          <w:lang w:val="en-GB"/>
        </w:rPr>
        <w:t xml:space="preserve"> </w:t>
      </w:r>
      <w:proofErr w:type="gramStart"/>
      <w:r w:rsidR="00A22AC7" w:rsidRPr="008564A0">
        <w:rPr>
          <w:b/>
          <w:bCs/>
          <w:lang w:val="en-GB"/>
        </w:rPr>
        <w:t>3</w:t>
      </w:r>
      <w:proofErr w:type="gramEnd"/>
      <w:r w:rsidR="00381687" w:rsidRPr="008564A0">
        <w:rPr>
          <w:b/>
          <w:bCs/>
          <w:lang w:val="en-GB"/>
        </w:rPr>
        <w:t>.</w:t>
      </w:r>
      <w:r w:rsidR="00A22AC7" w:rsidRPr="008564A0">
        <w:rPr>
          <w:b/>
          <w:bCs/>
          <w:lang w:val="en-GB"/>
        </w:rPr>
        <w:t xml:space="preserve"> </w:t>
      </w:r>
      <w:r w:rsidRPr="008564A0">
        <w:rPr>
          <w:b/>
          <w:bCs/>
          <w:lang w:val="en-GB"/>
        </w:rPr>
        <w:t xml:space="preserve">Support seed market development. </w:t>
      </w:r>
      <w:r w:rsidR="00B475F0" w:rsidRPr="008564A0">
        <w:rPr>
          <w:lang w:val="en-GB"/>
        </w:rPr>
        <w:t xml:space="preserve">SDP introduced technical packages and promoted their adoption through field demonstrations, </w:t>
      </w:r>
      <w:r w:rsidR="00B475F0" w:rsidRPr="008E3357">
        <w:rPr>
          <w:lang w:val="en-GB"/>
        </w:rPr>
        <w:t>reaching 83 GPGs</w:t>
      </w:r>
      <w:r w:rsidR="00C8611B">
        <w:rPr>
          <w:lang w:val="en-GB"/>
        </w:rPr>
        <w:t xml:space="preserve"> with </w:t>
      </w:r>
      <w:r w:rsidR="00B475F0" w:rsidRPr="008564A0">
        <w:rPr>
          <w:lang w:val="en-GB"/>
        </w:rPr>
        <w:t>52,494 farmers (7</w:t>
      </w:r>
      <w:r w:rsidR="000A25D8">
        <w:rPr>
          <w:lang w:val="en-GB"/>
        </w:rPr>
        <w:t>6</w:t>
      </w:r>
      <w:r w:rsidR="00B475F0" w:rsidRPr="008564A0">
        <w:rPr>
          <w:lang w:val="en-GB"/>
        </w:rPr>
        <w:t xml:space="preserve"> per cent of target set at MTR</w:t>
      </w:r>
      <w:r w:rsidR="00C8611B">
        <w:rPr>
          <w:lang w:val="en-GB"/>
        </w:rPr>
        <w:t>)</w:t>
      </w:r>
      <w:r w:rsidR="000A25D8">
        <w:rPr>
          <w:lang w:val="en-GB"/>
        </w:rPr>
        <w:t>, according to the PCR</w:t>
      </w:r>
      <w:r w:rsidR="00B475F0" w:rsidRPr="008564A0">
        <w:rPr>
          <w:lang w:val="en-GB"/>
        </w:rPr>
        <w:t>. The PSCs adopted a model to market certified seeds whereby extension teams and marketing agents facilitated linkages between GPG</w:t>
      </w:r>
      <w:r w:rsidR="00C8611B">
        <w:rPr>
          <w:lang w:val="en-GB"/>
        </w:rPr>
        <w:t>s</w:t>
      </w:r>
      <w:r w:rsidR="00B475F0" w:rsidRPr="008564A0">
        <w:rPr>
          <w:lang w:val="en-GB"/>
        </w:rPr>
        <w:t>, mechanised service providers and financial institutions (</w:t>
      </w:r>
      <w:r w:rsidR="00B93A33">
        <w:rPr>
          <w:lang w:val="en-GB"/>
        </w:rPr>
        <w:t>Agricultural Bank of Sudan Microfinance Initiative [</w:t>
      </w:r>
      <w:r w:rsidR="00B475F0" w:rsidRPr="008564A0">
        <w:rPr>
          <w:lang w:val="en-GB"/>
        </w:rPr>
        <w:t>ABSUMI</w:t>
      </w:r>
      <w:r w:rsidR="00B93A33">
        <w:rPr>
          <w:lang w:val="en-GB"/>
        </w:rPr>
        <w:t>]</w:t>
      </w:r>
      <w:r w:rsidR="00B475F0" w:rsidRPr="008564A0">
        <w:rPr>
          <w:lang w:val="en-GB"/>
        </w:rPr>
        <w:t xml:space="preserve"> and </w:t>
      </w:r>
      <w:proofErr w:type="spellStart"/>
      <w:r w:rsidR="00B475F0" w:rsidRPr="008564A0">
        <w:rPr>
          <w:lang w:val="en-GB"/>
        </w:rPr>
        <w:t>Bara'ah</w:t>
      </w:r>
      <w:proofErr w:type="spellEnd"/>
      <w:r w:rsidR="00B475F0" w:rsidRPr="008564A0">
        <w:rPr>
          <w:lang w:val="en-GB"/>
        </w:rPr>
        <w:t xml:space="preserve">) for the provision of inputs. </w:t>
      </w:r>
      <w:r w:rsidR="00093D76">
        <w:rPr>
          <w:lang w:val="en-GB"/>
        </w:rPr>
        <w:t>The project supported capacity building of 59 mechanized service providers, 98 spray service providers, 30 agro-</w:t>
      </w:r>
      <w:r w:rsidR="00B909E9">
        <w:rPr>
          <w:lang w:val="en-GB"/>
        </w:rPr>
        <w:t xml:space="preserve">dealers and 27 business development agents. </w:t>
      </w:r>
      <w:r w:rsidR="00093D76">
        <w:rPr>
          <w:lang w:val="en-GB"/>
        </w:rPr>
        <w:t xml:space="preserve"> </w:t>
      </w:r>
    </w:p>
    <w:p w:rsidR="0025118A" w:rsidRPr="0001391F" w:rsidRDefault="000A25D8" w:rsidP="00DA4748">
      <w:pPr>
        <w:pStyle w:val="ListParagraph"/>
        <w:numPr>
          <w:ilvl w:val="0"/>
          <w:numId w:val="10"/>
        </w:numPr>
        <w:spacing w:after="120"/>
        <w:ind w:left="567" w:hanging="567"/>
        <w:contextualSpacing w:val="0"/>
      </w:pPr>
      <w:r w:rsidRPr="00C4602F">
        <w:rPr>
          <w:lang w:val="en-GB"/>
        </w:rPr>
        <w:t>The project estimated that the use of certified/improved seeds</w:t>
      </w:r>
      <w:r>
        <w:rPr>
          <w:lang w:val="en-GB"/>
        </w:rPr>
        <w:t xml:space="preserve"> increased from 5 per cent</w:t>
      </w:r>
      <w:r w:rsidRPr="00AD0E65">
        <w:rPr>
          <w:lang w:val="en-GB"/>
        </w:rPr>
        <w:t xml:space="preserve"> </w:t>
      </w:r>
      <w:r>
        <w:rPr>
          <w:lang w:val="en-GB"/>
        </w:rPr>
        <w:t>at pre-</w:t>
      </w:r>
      <w:r w:rsidRPr="009C0B43">
        <w:rPr>
          <w:lang w:val="en-GB"/>
        </w:rPr>
        <w:t>project</w:t>
      </w:r>
      <w:r>
        <w:rPr>
          <w:lang w:val="en-GB"/>
        </w:rPr>
        <w:t xml:space="preserve"> to 45 per cent</w:t>
      </w:r>
      <w:r w:rsidRPr="00AD0E65">
        <w:rPr>
          <w:lang w:val="en-GB"/>
        </w:rPr>
        <w:t xml:space="preserve"> </w:t>
      </w:r>
      <w:r>
        <w:rPr>
          <w:lang w:val="en-GB"/>
        </w:rPr>
        <w:t>with the project.</w:t>
      </w:r>
      <w:r w:rsidRPr="00C179D9">
        <w:rPr>
          <w:lang w:val="en-GB"/>
        </w:rPr>
        <w:t xml:space="preserve"> While </w:t>
      </w:r>
      <w:r>
        <w:rPr>
          <w:lang w:val="en-GB"/>
        </w:rPr>
        <w:t xml:space="preserve">it is not possible to </w:t>
      </w:r>
      <w:r w:rsidRPr="00C179D9">
        <w:rPr>
          <w:lang w:val="en-GB"/>
        </w:rPr>
        <w:t>validate the</w:t>
      </w:r>
      <w:r>
        <w:rPr>
          <w:lang w:val="en-GB"/>
        </w:rPr>
        <w:t>se</w:t>
      </w:r>
      <w:r w:rsidRPr="00C179D9">
        <w:rPr>
          <w:lang w:val="en-GB"/>
        </w:rPr>
        <w:t xml:space="preserve"> data, the increasing trend emerged </w:t>
      </w:r>
      <w:r>
        <w:rPr>
          <w:lang w:val="en-GB"/>
        </w:rPr>
        <w:t>from discussions during the CSPE mission and</w:t>
      </w:r>
      <w:r w:rsidRPr="00C179D9">
        <w:rPr>
          <w:lang w:val="en-GB"/>
        </w:rPr>
        <w:t xml:space="preserve"> from other reports,</w:t>
      </w:r>
      <w:r>
        <w:rPr>
          <w:rStyle w:val="FootnoteReference"/>
          <w:lang w:val="en-GB"/>
        </w:rPr>
        <w:footnoteReference w:id="23"/>
      </w:r>
      <w:r w:rsidRPr="00C179D9">
        <w:rPr>
          <w:lang w:val="en-GB"/>
        </w:rPr>
        <w:t xml:space="preserve"> </w:t>
      </w:r>
      <w:r>
        <w:rPr>
          <w:lang w:val="en-GB"/>
        </w:rPr>
        <w:t>including</w:t>
      </w:r>
      <w:r w:rsidRPr="00C179D9">
        <w:rPr>
          <w:lang w:val="en-GB"/>
        </w:rPr>
        <w:t xml:space="preserve"> an assessment carried </w:t>
      </w:r>
      <w:r>
        <w:rPr>
          <w:lang w:val="en-GB"/>
        </w:rPr>
        <w:t xml:space="preserve">out </w:t>
      </w:r>
      <w:r w:rsidRPr="00C179D9">
        <w:rPr>
          <w:lang w:val="en-GB"/>
        </w:rPr>
        <w:t>by the project.</w:t>
      </w:r>
      <w:r>
        <w:rPr>
          <w:rStyle w:val="FootnoteReference"/>
        </w:rPr>
        <w:footnoteReference w:id="24"/>
      </w:r>
      <w:r>
        <w:rPr>
          <w:lang w:val="en-GB"/>
        </w:rPr>
        <w:t xml:space="preserve"> The PCR also reported </w:t>
      </w:r>
      <w:r w:rsidR="00CC05B1">
        <w:rPr>
          <w:lang w:val="en-GB"/>
        </w:rPr>
        <w:t xml:space="preserve">that </w:t>
      </w:r>
      <w:proofErr w:type="gramStart"/>
      <w:r>
        <w:rPr>
          <w:lang w:val="en-GB"/>
        </w:rPr>
        <w:t xml:space="preserve">a total of </w:t>
      </w:r>
      <w:r w:rsidR="00B475F0" w:rsidRPr="008564A0">
        <w:rPr>
          <w:lang w:val="en-GB"/>
        </w:rPr>
        <w:t>453,900</w:t>
      </w:r>
      <w:proofErr w:type="gramEnd"/>
      <w:r w:rsidR="00B475F0" w:rsidRPr="008564A0">
        <w:rPr>
          <w:lang w:val="en-GB"/>
        </w:rPr>
        <w:t xml:space="preserve"> </w:t>
      </w:r>
      <w:proofErr w:type="spellStart"/>
      <w:r w:rsidR="00B475F0" w:rsidRPr="008564A0">
        <w:rPr>
          <w:lang w:val="en-GB"/>
        </w:rPr>
        <w:t>fed</w:t>
      </w:r>
      <w:r w:rsidR="00867AE3">
        <w:rPr>
          <w:lang w:val="en-GB"/>
        </w:rPr>
        <w:t>dan</w:t>
      </w:r>
      <w:r w:rsidR="00B475F0" w:rsidRPr="008564A0">
        <w:rPr>
          <w:lang w:val="en-GB"/>
        </w:rPr>
        <w:t>s</w:t>
      </w:r>
      <w:proofErr w:type="spellEnd"/>
      <w:r w:rsidR="00B475F0" w:rsidRPr="008564A0">
        <w:rPr>
          <w:lang w:val="en-GB"/>
        </w:rPr>
        <w:t xml:space="preserve"> (compared to 483,000 </w:t>
      </w:r>
      <w:proofErr w:type="spellStart"/>
      <w:r w:rsidR="00B475F0" w:rsidRPr="008564A0">
        <w:rPr>
          <w:lang w:val="en-GB"/>
        </w:rPr>
        <w:t>fed</w:t>
      </w:r>
      <w:r w:rsidR="00867AE3">
        <w:rPr>
          <w:lang w:val="en-GB"/>
        </w:rPr>
        <w:t>da</w:t>
      </w:r>
      <w:r w:rsidR="00EB0A34">
        <w:rPr>
          <w:lang w:val="en-GB"/>
        </w:rPr>
        <w:t>n</w:t>
      </w:r>
      <w:r w:rsidR="00B475F0" w:rsidRPr="008564A0">
        <w:rPr>
          <w:lang w:val="en-GB"/>
        </w:rPr>
        <w:t>s</w:t>
      </w:r>
      <w:proofErr w:type="spellEnd"/>
      <w:r w:rsidR="00B475F0" w:rsidRPr="008564A0">
        <w:rPr>
          <w:lang w:val="en-GB"/>
        </w:rPr>
        <w:t xml:space="preserve"> set at MTR) </w:t>
      </w:r>
      <w:r>
        <w:rPr>
          <w:lang w:val="en-GB"/>
        </w:rPr>
        <w:t xml:space="preserve">was cultivated </w:t>
      </w:r>
      <w:r w:rsidR="00B475F0" w:rsidRPr="008564A0">
        <w:rPr>
          <w:lang w:val="en-GB"/>
        </w:rPr>
        <w:t>with improved and certified seeds.</w:t>
      </w:r>
      <w:r w:rsidR="00B475F0">
        <w:rPr>
          <w:rStyle w:val="FootnoteReference"/>
          <w:lang w:val="en-GB"/>
        </w:rPr>
        <w:footnoteReference w:id="25"/>
      </w:r>
      <w:r w:rsidR="00044F6B" w:rsidRPr="00044F6B">
        <w:rPr>
          <w:lang w:val="en-GB"/>
        </w:rPr>
        <w:t xml:space="preserve"> </w:t>
      </w:r>
      <w:r>
        <w:rPr>
          <w:lang w:val="en-GB"/>
        </w:rPr>
        <w:t xml:space="preserve">As in the case of the area for seed production (paragraph 22), this figure appears to be a cumulative figure over </w:t>
      </w:r>
      <w:r w:rsidR="00DA4748">
        <w:rPr>
          <w:lang w:val="en-GB"/>
        </w:rPr>
        <w:t xml:space="preserve">the years </w:t>
      </w:r>
      <w:r w:rsidR="003A7833">
        <w:rPr>
          <w:lang w:val="en-GB"/>
        </w:rPr>
        <w:t>and thus can be misleading</w:t>
      </w:r>
      <w:r w:rsidR="00DA4748">
        <w:rPr>
          <w:lang w:val="en-GB"/>
        </w:rPr>
        <w:t xml:space="preserve"> since the target of 483,000 </w:t>
      </w:r>
      <w:proofErr w:type="spellStart"/>
      <w:r w:rsidR="00DA4748">
        <w:rPr>
          <w:lang w:val="en-GB"/>
        </w:rPr>
        <w:t>feddans</w:t>
      </w:r>
      <w:proofErr w:type="spellEnd"/>
      <w:r w:rsidR="00DA4748">
        <w:rPr>
          <w:lang w:val="en-GB"/>
        </w:rPr>
        <w:t xml:space="preserve"> was for the final year of the project</w:t>
      </w:r>
      <w:r w:rsidR="003A7833">
        <w:rPr>
          <w:lang w:val="en-GB"/>
        </w:rPr>
        <w:t xml:space="preserve">. </w:t>
      </w:r>
      <w:r w:rsidR="00B66386" w:rsidRPr="008564A0">
        <w:rPr>
          <w:lang w:val="en-GB"/>
        </w:rPr>
        <w:t xml:space="preserve">Access </w:t>
      </w:r>
      <w:r w:rsidR="003D4270" w:rsidRPr="008564A0">
        <w:rPr>
          <w:lang w:val="en-GB"/>
        </w:rPr>
        <w:t xml:space="preserve">to </w:t>
      </w:r>
      <w:r w:rsidR="00B66386" w:rsidRPr="008564A0">
        <w:rPr>
          <w:lang w:val="en-GB"/>
        </w:rPr>
        <w:t>ins</w:t>
      </w:r>
      <w:r w:rsidR="003D4270" w:rsidRPr="008564A0">
        <w:rPr>
          <w:lang w:val="en-GB"/>
        </w:rPr>
        <w:t>urance presented some limitation</w:t>
      </w:r>
      <w:r w:rsidR="00B475F0" w:rsidRPr="008564A0">
        <w:rPr>
          <w:lang w:val="en-GB"/>
        </w:rPr>
        <w:t>s</w:t>
      </w:r>
      <w:r w:rsidR="003D4270" w:rsidRPr="008564A0">
        <w:rPr>
          <w:lang w:val="en-GB"/>
        </w:rPr>
        <w:t xml:space="preserve"> because </w:t>
      </w:r>
      <w:r w:rsidR="0061285A" w:rsidRPr="008564A0">
        <w:rPr>
          <w:lang w:val="en-GB"/>
        </w:rPr>
        <w:t>the insurance company was reluctant to insure crops in risky rain fed.</w:t>
      </w:r>
      <w:r w:rsidR="004C7537" w:rsidRPr="008564A0">
        <w:rPr>
          <w:lang w:val="en-GB"/>
        </w:rPr>
        <w:t xml:space="preserve"> </w:t>
      </w:r>
      <w:r w:rsidR="00085F25" w:rsidRPr="008564A0">
        <w:rPr>
          <w:lang w:val="en-GB"/>
        </w:rPr>
        <w:t>B</w:t>
      </w:r>
      <w:r w:rsidR="004C7537" w:rsidRPr="008564A0">
        <w:rPr>
          <w:lang w:val="en-GB"/>
        </w:rPr>
        <w:t>orrowers</w:t>
      </w:r>
      <w:r w:rsidR="001C4030">
        <w:rPr>
          <w:lang w:val="en-GB"/>
        </w:rPr>
        <w:t xml:space="preserve"> of seasonal loans</w:t>
      </w:r>
      <w:r w:rsidR="004C7537" w:rsidRPr="008564A0">
        <w:rPr>
          <w:lang w:val="en-GB"/>
        </w:rPr>
        <w:t xml:space="preserve"> </w:t>
      </w:r>
      <w:r w:rsidR="00085F25" w:rsidRPr="008564A0">
        <w:rPr>
          <w:lang w:val="en-GB"/>
        </w:rPr>
        <w:t>represented</w:t>
      </w:r>
      <w:r w:rsidR="004C7537" w:rsidRPr="008564A0">
        <w:rPr>
          <w:lang w:val="en-GB"/>
        </w:rPr>
        <w:t xml:space="preserve"> 21 per cent of the</w:t>
      </w:r>
      <w:r w:rsidR="006F01F5" w:rsidRPr="008564A0">
        <w:rPr>
          <w:lang w:val="en-GB"/>
        </w:rPr>
        <w:t xml:space="preserve"> reached</w:t>
      </w:r>
      <w:r w:rsidR="004C7537" w:rsidRPr="008564A0">
        <w:rPr>
          <w:lang w:val="en-GB"/>
        </w:rPr>
        <w:t xml:space="preserve"> </w:t>
      </w:r>
      <w:r w:rsidR="008564A0" w:rsidRPr="008564A0">
        <w:rPr>
          <w:lang w:val="en-GB"/>
        </w:rPr>
        <w:t>target</w:t>
      </w:r>
      <w:r w:rsidR="00085F25" w:rsidRPr="008564A0">
        <w:rPr>
          <w:lang w:val="en-GB"/>
        </w:rPr>
        <w:t xml:space="preserve"> (or 11,271)</w:t>
      </w:r>
      <w:r w:rsidR="004C7537" w:rsidRPr="008564A0">
        <w:rPr>
          <w:lang w:val="en-GB"/>
        </w:rPr>
        <w:t>.</w:t>
      </w:r>
      <w:r w:rsidR="004C7537">
        <w:rPr>
          <w:rStyle w:val="FootnoteReference"/>
          <w:lang w:val="en-GB"/>
        </w:rPr>
        <w:footnoteReference w:id="26"/>
      </w:r>
      <w:r w:rsidR="00985D73" w:rsidRPr="00985D73">
        <w:rPr>
          <w:lang w:val="en-GB"/>
        </w:rPr>
        <w:t xml:space="preserve"> </w:t>
      </w:r>
    </w:p>
    <w:p w:rsidR="0025118A" w:rsidRPr="0025118A" w:rsidRDefault="008564A0" w:rsidP="0091004F">
      <w:pPr>
        <w:pStyle w:val="ListParagraph"/>
        <w:numPr>
          <w:ilvl w:val="0"/>
          <w:numId w:val="10"/>
        </w:numPr>
        <w:spacing w:after="120"/>
        <w:ind w:left="567" w:hanging="567"/>
        <w:contextualSpacing w:val="0"/>
        <w:rPr>
          <w:lang w:val="en-GB"/>
        </w:rPr>
      </w:pPr>
      <w:r>
        <w:rPr>
          <w:lang w:val="en-GB"/>
        </w:rPr>
        <w:t>The PCR observed that</w:t>
      </w:r>
      <w:r w:rsidR="0025118A" w:rsidRPr="0025118A">
        <w:rPr>
          <w:lang w:val="en-GB"/>
        </w:rPr>
        <w:t xml:space="preserve"> the business model adopted by the project </w:t>
      </w:r>
      <w:r w:rsidR="0025118A" w:rsidRPr="00E267BE">
        <w:t xml:space="preserve">was instrumental in changing </w:t>
      </w:r>
      <w:r w:rsidR="00867AE3">
        <w:t xml:space="preserve">the </w:t>
      </w:r>
      <w:r w:rsidR="0025118A" w:rsidRPr="00E267BE">
        <w:t xml:space="preserve">old </w:t>
      </w:r>
      <w:r>
        <w:t>mod</w:t>
      </w:r>
      <w:r w:rsidR="00867AE3">
        <w:t>ality</w:t>
      </w:r>
      <w:r>
        <w:t xml:space="preserve"> where smallholders relied</w:t>
      </w:r>
      <w:r w:rsidR="0025118A" w:rsidRPr="00E267BE">
        <w:t xml:space="preserve"> </w:t>
      </w:r>
      <w:r>
        <w:t>solely</w:t>
      </w:r>
      <w:r w:rsidR="0025118A" w:rsidRPr="00E267BE">
        <w:t xml:space="preserve"> on low-yielding seeds retained from their previous season</w:t>
      </w:r>
      <w:r w:rsidR="0025118A">
        <w:t>al</w:t>
      </w:r>
      <w:r w:rsidR="0025118A" w:rsidRPr="00E267BE">
        <w:t xml:space="preserve"> harvest</w:t>
      </w:r>
      <w:r w:rsidR="0025118A">
        <w:t xml:space="preserve">. Some seed growers were </w:t>
      </w:r>
      <w:r w:rsidR="0025118A" w:rsidRPr="0025118A">
        <w:rPr>
          <w:lang w:val="en-GB"/>
        </w:rPr>
        <w:t>motivated to expand the business on a commercial basis beyond the project area (W</w:t>
      </w:r>
      <w:r>
        <w:rPr>
          <w:lang w:val="en-GB"/>
        </w:rPr>
        <w:t xml:space="preserve">est </w:t>
      </w:r>
      <w:proofErr w:type="spellStart"/>
      <w:r>
        <w:rPr>
          <w:lang w:val="en-GB"/>
        </w:rPr>
        <w:t>Kordofan</w:t>
      </w:r>
      <w:proofErr w:type="spellEnd"/>
      <w:r>
        <w:rPr>
          <w:lang w:val="en-GB"/>
        </w:rPr>
        <w:t xml:space="preserve"> and Darfur states)</w:t>
      </w:r>
      <w:r w:rsidR="0025118A" w:rsidRPr="0025118A">
        <w:rPr>
          <w:lang w:val="en-GB"/>
        </w:rPr>
        <w:t>.</w:t>
      </w:r>
    </w:p>
    <w:p w:rsidR="002D397E" w:rsidRPr="00DA4748" w:rsidRDefault="002D397E" w:rsidP="00C57C1F">
      <w:pPr>
        <w:pStyle w:val="ListParagraph"/>
        <w:numPr>
          <w:ilvl w:val="0"/>
          <w:numId w:val="10"/>
        </w:numPr>
        <w:spacing w:after="120"/>
        <w:ind w:left="567" w:hanging="567"/>
        <w:contextualSpacing w:val="0"/>
        <w:rPr>
          <w:lang w:val="en-GB"/>
        </w:rPr>
      </w:pPr>
      <w:r w:rsidRPr="006F01F5">
        <w:rPr>
          <w:rFonts w:cs="Verdana"/>
          <w:b/>
          <w:bCs/>
          <w:lang w:eastAsia="en-GB"/>
        </w:rPr>
        <w:t xml:space="preserve">Factors in project design and implementation that </w:t>
      </w:r>
      <w:r w:rsidR="00DA4748">
        <w:rPr>
          <w:rFonts w:cs="Verdana"/>
          <w:b/>
          <w:bCs/>
          <w:lang w:eastAsia="en-GB"/>
        </w:rPr>
        <w:t>affected effectiveness</w:t>
      </w:r>
      <w:r w:rsidRPr="006F01F5">
        <w:rPr>
          <w:rFonts w:cs="Verdana"/>
          <w:b/>
          <w:bCs/>
          <w:lang w:eastAsia="en-GB"/>
        </w:rPr>
        <w:t xml:space="preserve">. </w:t>
      </w:r>
      <w:r w:rsidR="00A45C7E" w:rsidRPr="006F01F5">
        <w:rPr>
          <w:lang w:val="en-GB"/>
        </w:rPr>
        <w:t xml:space="preserve">The project lost almost half of the effective implementation period seeking to implement the </w:t>
      </w:r>
      <w:r w:rsidR="008564A0">
        <w:rPr>
          <w:lang w:val="en-GB"/>
        </w:rPr>
        <w:t xml:space="preserve">initial designed engagement strategy with the </w:t>
      </w:r>
      <w:r w:rsidR="00A45C7E" w:rsidRPr="006F01F5">
        <w:rPr>
          <w:lang w:val="en-GB"/>
        </w:rPr>
        <w:t>private sector</w:t>
      </w:r>
      <w:r w:rsidR="008564A0">
        <w:rPr>
          <w:lang w:val="en-GB"/>
        </w:rPr>
        <w:t>.</w:t>
      </w:r>
      <w:r w:rsidR="00A45C7E" w:rsidRPr="006F01F5">
        <w:rPr>
          <w:lang w:val="en-GB"/>
        </w:rPr>
        <w:t xml:space="preserve"> The PCR notes that </w:t>
      </w:r>
      <w:r w:rsidR="00A45C7E" w:rsidRPr="00150A12">
        <w:t xml:space="preserve">major improvements in the implementation </w:t>
      </w:r>
      <w:proofErr w:type="gramStart"/>
      <w:r w:rsidR="00A45C7E">
        <w:t>were registered</w:t>
      </w:r>
      <w:proofErr w:type="gramEnd"/>
      <w:r w:rsidR="00A45C7E">
        <w:t xml:space="preserve"> </w:t>
      </w:r>
      <w:r w:rsidR="00AB6238">
        <w:t>following</w:t>
      </w:r>
      <w:r w:rsidR="00A45C7E" w:rsidRPr="00150A12">
        <w:t xml:space="preserve"> the </w:t>
      </w:r>
      <w:r w:rsidR="00A45C7E" w:rsidRPr="006F01F5">
        <w:rPr>
          <w:lang w:val="en-GB"/>
        </w:rPr>
        <w:t>MTR including a sustainable partnership between relevant private sector actors and farmers.</w:t>
      </w:r>
      <w:r w:rsidR="00B4188B" w:rsidRPr="006F01F5">
        <w:rPr>
          <w:lang w:val="en-GB"/>
        </w:rPr>
        <w:t xml:space="preserve"> </w:t>
      </w:r>
      <w:r w:rsidR="004E6815" w:rsidRPr="006F01F5">
        <w:rPr>
          <w:rFonts w:cs="Verdana"/>
          <w:lang w:eastAsia="en-GB"/>
        </w:rPr>
        <w:t xml:space="preserve">Discussions with the </w:t>
      </w:r>
      <w:r w:rsidR="00867AE3">
        <w:rPr>
          <w:rFonts w:cs="Verdana"/>
          <w:lang w:eastAsia="en-GB"/>
        </w:rPr>
        <w:t xml:space="preserve">previous WSRMP/SDP </w:t>
      </w:r>
      <w:r w:rsidR="004E6815" w:rsidRPr="006F01F5">
        <w:rPr>
          <w:rFonts w:cs="Verdana"/>
          <w:lang w:eastAsia="en-GB"/>
        </w:rPr>
        <w:t>P</w:t>
      </w:r>
      <w:r w:rsidR="00867AE3">
        <w:rPr>
          <w:rFonts w:cs="Verdana"/>
          <w:lang w:eastAsia="en-GB"/>
        </w:rPr>
        <w:t>C</w:t>
      </w:r>
      <w:r w:rsidR="004E6815" w:rsidRPr="006F01F5">
        <w:rPr>
          <w:rFonts w:cs="Verdana"/>
          <w:lang w:eastAsia="en-GB"/>
        </w:rPr>
        <w:t xml:space="preserve">U </w:t>
      </w:r>
      <w:r w:rsidR="00EB0A34">
        <w:rPr>
          <w:rFonts w:cs="Verdana"/>
          <w:lang w:eastAsia="en-GB"/>
        </w:rPr>
        <w:t>staff</w:t>
      </w:r>
      <w:r w:rsidR="00867AE3">
        <w:rPr>
          <w:rFonts w:cs="Verdana"/>
          <w:lang w:eastAsia="en-GB"/>
        </w:rPr>
        <w:t xml:space="preserve"> </w:t>
      </w:r>
      <w:r w:rsidR="00AB6238">
        <w:rPr>
          <w:rFonts w:cs="Verdana"/>
          <w:lang w:eastAsia="en-GB"/>
        </w:rPr>
        <w:t>during the CSPE field mission</w:t>
      </w:r>
      <w:r w:rsidR="00B851EB">
        <w:rPr>
          <w:rStyle w:val="FootnoteReference"/>
          <w:rFonts w:cs="Verdana"/>
          <w:lang w:eastAsia="en-GB"/>
        </w:rPr>
        <w:footnoteReference w:id="27"/>
      </w:r>
      <w:r w:rsidR="00DA4748">
        <w:rPr>
          <w:rFonts w:cs="Verdana"/>
          <w:lang w:eastAsia="en-GB"/>
        </w:rPr>
        <w:t xml:space="preserve"> revealed that p</w:t>
      </w:r>
      <w:r w:rsidR="00B4188B" w:rsidRPr="00C57C1F">
        <w:rPr>
          <w:rFonts w:cs="Verdana"/>
          <w:lang w:eastAsia="en-GB"/>
        </w:rPr>
        <w:t>ositive factors enhancing t</w:t>
      </w:r>
      <w:r w:rsidRPr="00C57C1F">
        <w:rPr>
          <w:rFonts w:cs="Verdana"/>
          <w:lang w:eastAsia="en-GB"/>
        </w:rPr>
        <w:t>he effectiven</w:t>
      </w:r>
      <w:r w:rsidR="008640CE" w:rsidRPr="00C57C1F">
        <w:rPr>
          <w:rFonts w:cs="Verdana"/>
          <w:lang w:eastAsia="en-GB"/>
        </w:rPr>
        <w:t xml:space="preserve">ess </w:t>
      </w:r>
      <w:r w:rsidR="00DA4748">
        <w:rPr>
          <w:rFonts w:cs="Verdana"/>
          <w:lang w:eastAsia="en-GB"/>
        </w:rPr>
        <w:t>included</w:t>
      </w:r>
      <w:r w:rsidRPr="00C57C1F">
        <w:rPr>
          <w:rFonts w:cs="Verdana"/>
          <w:lang w:eastAsia="en-GB"/>
        </w:rPr>
        <w:t>:</w:t>
      </w:r>
      <w:r w:rsidRPr="00E31773">
        <w:t xml:space="preserve"> </w:t>
      </w:r>
      <w:r w:rsidR="00DA4748">
        <w:rPr>
          <w:rFonts w:cs="Verdana"/>
          <w:lang w:val="en-US" w:eastAsia="en-GB"/>
        </w:rPr>
        <w:t>(</w:t>
      </w:r>
      <w:proofErr w:type="spellStart"/>
      <w:r w:rsidR="00DA4748">
        <w:rPr>
          <w:rFonts w:cs="Verdana"/>
          <w:lang w:val="en-US" w:eastAsia="en-GB"/>
        </w:rPr>
        <w:t>i</w:t>
      </w:r>
      <w:proofErr w:type="spellEnd"/>
      <w:r w:rsidR="00DA4748">
        <w:rPr>
          <w:rFonts w:cs="Verdana"/>
          <w:lang w:val="en-US" w:eastAsia="en-GB"/>
        </w:rPr>
        <w:t>) b</w:t>
      </w:r>
      <w:r w:rsidR="00DF6023" w:rsidRPr="00C57C1F">
        <w:rPr>
          <w:rFonts w:cs="Verdana"/>
          <w:lang w:val="en-US" w:eastAsia="en-GB"/>
        </w:rPr>
        <w:t>uilding on the experience o</w:t>
      </w:r>
      <w:r w:rsidR="005F2BCA" w:rsidRPr="00C57C1F">
        <w:rPr>
          <w:rFonts w:cs="Verdana"/>
          <w:lang w:val="en-US" w:eastAsia="en-GB"/>
        </w:rPr>
        <w:t>f previous projects in the area;</w:t>
      </w:r>
      <w:r w:rsidR="00DA4748">
        <w:rPr>
          <w:rFonts w:cs="Verdana"/>
          <w:lang w:val="en-US" w:eastAsia="en-GB"/>
        </w:rPr>
        <w:t xml:space="preserve"> (ii) i</w:t>
      </w:r>
      <w:r w:rsidR="00DF6023" w:rsidRPr="00C57C1F">
        <w:rPr>
          <w:rFonts w:cs="Verdana"/>
          <w:lang w:val="en-US" w:eastAsia="en-GB"/>
        </w:rPr>
        <w:t xml:space="preserve">nvolvement of </w:t>
      </w:r>
      <w:proofErr w:type="gramStart"/>
      <w:r w:rsidR="00DF6023" w:rsidRPr="00C57C1F">
        <w:rPr>
          <w:rFonts w:cs="Verdana"/>
          <w:lang w:val="en-US" w:eastAsia="en-GB"/>
        </w:rPr>
        <w:t>well capacitated</w:t>
      </w:r>
      <w:proofErr w:type="gramEnd"/>
      <w:r w:rsidR="00DF6023" w:rsidRPr="00C57C1F">
        <w:rPr>
          <w:rFonts w:cs="Verdana"/>
          <w:lang w:val="en-US" w:eastAsia="en-GB"/>
        </w:rPr>
        <w:t xml:space="preserve"> communities with ade</w:t>
      </w:r>
      <w:r w:rsidR="005F2BCA" w:rsidRPr="00C57C1F">
        <w:rPr>
          <w:rFonts w:cs="Verdana"/>
          <w:lang w:val="en-US" w:eastAsia="en-GB"/>
        </w:rPr>
        <w:t>quate organizational structures;</w:t>
      </w:r>
      <w:r w:rsidR="00DA4748">
        <w:rPr>
          <w:rFonts w:cs="Verdana"/>
          <w:lang w:val="en-US" w:eastAsia="en-GB"/>
        </w:rPr>
        <w:t xml:space="preserve"> and (iii) w</w:t>
      </w:r>
      <w:r w:rsidR="00DF6023" w:rsidRPr="00C57C1F">
        <w:rPr>
          <w:rFonts w:cs="Verdana"/>
          <w:lang w:val="en-US" w:eastAsia="en-GB"/>
        </w:rPr>
        <w:t>orking with the already existing extens</w:t>
      </w:r>
      <w:r w:rsidR="005F2BCA" w:rsidRPr="00C57C1F">
        <w:rPr>
          <w:rFonts w:cs="Verdana"/>
          <w:lang w:val="en-US" w:eastAsia="en-GB"/>
        </w:rPr>
        <w:t>ion teams at the locality level</w:t>
      </w:r>
      <w:r w:rsidR="00DA4748">
        <w:rPr>
          <w:rFonts w:cs="Verdana"/>
          <w:lang w:val="en-US" w:eastAsia="en-GB"/>
        </w:rPr>
        <w:t xml:space="preserve">. </w:t>
      </w:r>
      <w:proofErr w:type="gramStart"/>
      <w:r w:rsidR="00DA4748">
        <w:rPr>
          <w:rFonts w:cs="Verdana"/>
          <w:lang w:val="en-US" w:eastAsia="en-GB"/>
        </w:rPr>
        <w:t>On the other hand, f</w:t>
      </w:r>
      <w:r w:rsidR="00B851EB" w:rsidRPr="00DA4748">
        <w:rPr>
          <w:lang w:eastAsia="en-GB"/>
        </w:rPr>
        <w:t xml:space="preserve">actors </w:t>
      </w:r>
      <w:r w:rsidR="00093D76">
        <w:rPr>
          <w:lang w:eastAsia="en-GB"/>
        </w:rPr>
        <w:t xml:space="preserve">that </w:t>
      </w:r>
      <w:r w:rsidR="00B851EB" w:rsidRPr="00093D76">
        <w:rPr>
          <w:lang w:eastAsia="en-GB"/>
        </w:rPr>
        <w:t>affect</w:t>
      </w:r>
      <w:r w:rsidR="00093D76">
        <w:rPr>
          <w:lang w:eastAsia="en-GB"/>
        </w:rPr>
        <w:t>ed</w:t>
      </w:r>
      <w:r w:rsidR="00B851EB" w:rsidRPr="00093D76">
        <w:rPr>
          <w:lang w:eastAsia="en-GB"/>
        </w:rPr>
        <w:t xml:space="preserve"> </w:t>
      </w:r>
      <w:r w:rsidR="005F2BCA" w:rsidRPr="00093D76">
        <w:rPr>
          <w:lang w:eastAsia="en-GB"/>
        </w:rPr>
        <w:t>t</w:t>
      </w:r>
      <w:r w:rsidRPr="00093D76">
        <w:rPr>
          <w:lang w:eastAsia="en-GB"/>
        </w:rPr>
        <w:t>he effectiveness of the project</w:t>
      </w:r>
      <w:r w:rsidR="00CC05B1" w:rsidRPr="00093D76">
        <w:rPr>
          <w:lang w:eastAsia="en-GB"/>
        </w:rPr>
        <w:t>, including those</w:t>
      </w:r>
      <w:r w:rsidRPr="00093D76">
        <w:rPr>
          <w:lang w:eastAsia="en-GB"/>
        </w:rPr>
        <w:t xml:space="preserve"> </w:t>
      </w:r>
      <w:r w:rsidR="00093D76">
        <w:rPr>
          <w:lang w:eastAsia="en-GB"/>
        </w:rPr>
        <w:t>specifically</w:t>
      </w:r>
      <w:r w:rsidR="00B851EB" w:rsidRPr="00093D76">
        <w:rPr>
          <w:lang w:eastAsia="en-GB"/>
        </w:rPr>
        <w:t xml:space="preserve"> in the first years of </w:t>
      </w:r>
      <w:r w:rsidR="0073261D" w:rsidRPr="00093D76">
        <w:rPr>
          <w:lang w:eastAsia="en-GB"/>
        </w:rPr>
        <w:t>implementation</w:t>
      </w:r>
      <w:r w:rsidR="00DA4748">
        <w:rPr>
          <w:lang w:eastAsia="en-GB"/>
        </w:rPr>
        <w:t xml:space="preserve"> were</w:t>
      </w:r>
      <w:r w:rsidR="00B851EB" w:rsidRPr="00093D76">
        <w:rPr>
          <w:lang w:eastAsia="en-GB"/>
        </w:rPr>
        <w:t>:</w:t>
      </w:r>
      <w:r w:rsidR="00DA4748">
        <w:rPr>
          <w:lang w:eastAsia="en-GB"/>
        </w:rPr>
        <w:t xml:space="preserve"> (a) </w:t>
      </w:r>
      <w:r w:rsidR="00093D76">
        <w:rPr>
          <w:lang w:eastAsia="en-GB"/>
        </w:rPr>
        <w:t xml:space="preserve">general </w:t>
      </w:r>
      <w:r w:rsidR="00DA4748">
        <w:rPr>
          <w:lang w:eastAsia="en-GB"/>
        </w:rPr>
        <w:t>l</w:t>
      </w:r>
      <w:proofErr w:type="spellStart"/>
      <w:r w:rsidRPr="00C57C1F">
        <w:rPr>
          <w:rFonts w:cs="Verdana"/>
          <w:lang w:val="en-US" w:eastAsia="en-GB"/>
        </w:rPr>
        <w:t>ack</w:t>
      </w:r>
      <w:proofErr w:type="spellEnd"/>
      <w:r w:rsidRPr="00C57C1F">
        <w:rPr>
          <w:rFonts w:cs="Verdana"/>
          <w:lang w:val="en-US" w:eastAsia="en-GB"/>
        </w:rPr>
        <w:t xml:space="preserve"> of interest of </w:t>
      </w:r>
      <w:r w:rsidR="00093D76">
        <w:rPr>
          <w:rFonts w:cs="Verdana"/>
          <w:lang w:val="en-US" w:eastAsia="en-GB"/>
        </w:rPr>
        <w:t>PSCs</w:t>
      </w:r>
      <w:r w:rsidRPr="00C57C1F">
        <w:rPr>
          <w:rFonts w:cs="Verdana"/>
          <w:lang w:val="en-US" w:eastAsia="en-GB"/>
        </w:rPr>
        <w:t xml:space="preserve"> to work with small scale farmers in the traditional rain-fed sec</w:t>
      </w:r>
      <w:r w:rsidR="005F2BCA" w:rsidRPr="00C57C1F">
        <w:rPr>
          <w:rFonts w:cs="Verdana"/>
          <w:lang w:val="en-US" w:eastAsia="en-GB"/>
        </w:rPr>
        <w:t>tors;</w:t>
      </w:r>
      <w:r w:rsidR="00C57C1F">
        <w:rPr>
          <w:rFonts w:cs="Verdana"/>
          <w:lang w:val="en-US" w:eastAsia="en-GB"/>
        </w:rPr>
        <w:t xml:space="preserve"> (b</w:t>
      </w:r>
      <w:r w:rsidR="00DA4748">
        <w:rPr>
          <w:rFonts w:cs="Verdana"/>
          <w:lang w:val="en-US" w:eastAsia="en-GB"/>
        </w:rPr>
        <w:t>) in</w:t>
      </w:r>
      <w:r w:rsidRPr="00C57C1F">
        <w:rPr>
          <w:rFonts w:cs="Verdana"/>
          <w:lang w:val="en-US" w:eastAsia="en-GB"/>
        </w:rPr>
        <w:t>sufficient empowerment of SGGs and GPGs to act as p</w:t>
      </w:r>
      <w:r w:rsidR="005F2BCA" w:rsidRPr="00C57C1F">
        <w:rPr>
          <w:rFonts w:cs="Verdana"/>
          <w:lang w:val="en-US" w:eastAsia="en-GB"/>
        </w:rPr>
        <w:t>artners in the seed value chain;</w:t>
      </w:r>
      <w:r w:rsidR="00C57C1F">
        <w:rPr>
          <w:rFonts w:cs="Verdana"/>
          <w:lang w:val="en-US" w:eastAsia="en-GB"/>
        </w:rPr>
        <w:t xml:space="preserve"> (c</w:t>
      </w:r>
      <w:r w:rsidR="00DA4748">
        <w:rPr>
          <w:rFonts w:cs="Verdana"/>
          <w:lang w:val="en-US" w:eastAsia="en-GB"/>
        </w:rPr>
        <w:t>) i</w:t>
      </w:r>
      <w:r w:rsidRPr="00C57C1F">
        <w:rPr>
          <w:rFonts w:cs="Verdana"/>
          <w:lang w:val="en-US" w:eastAsia="en-GB"/>
        </w:rPr>
        <w:t xml:space="preserve">nadequate experience of the staff </w:t>
      </w:r>
      <w:r w:rsidR="00782B0D" w:rsidRPr="00C57C1F">
        <w:rPr>
          <w:rFonts w:cs="Verdana"/>
          <w:lang w:val="en-US" w:eastAsia="en-GB"/>
        </w:rPr>
        <w:t>of</w:t>
      </w:r>
      <w:r w:rsidRPr="00C57C1F">
        <w:rPr>
          <w:rFonts w:cs="Verdana"/>
          <w:lang w:val="en-US" w:eastAsia="en-GB"/>
        </w:rPr>
        <w:t xml:space="preserve"> the newly established ABSUMI units </w:t>
      </w:r>
      <w:r w:rsidR="00B4188B" w:rsidRPr="00C57C1F">
        <w:rPr>
          <w:rFonts w:cs="Verdana"/>
          <w:lang w:val="en-US" w:eastAsia="en-GB"/>
        </w:rPr>
        <w:t>in managing</w:t>
      </w:r>
      <w:r w:rsidRPr="00C57C1F">
        <w:rPr>
          <w:rFonts w:cs="Verdana"/>
          <w:lang w:val="en-US" w:eastAsia="en-GB"/>
        </w:rPr>
        <w:t xml:space="preserve"> high demanding season loans procedures and ap</w:t>
      </w:r>
      <w:r w:rsidR="005F2BCA" w:rsidRPr="00C57C1F">
        <w:rPr>
          <w:rFonts w:cs="Verdana"/>
          <w:lang w:val="en-US" w:eastAsia="en-GB"/>
        </w:rPr>
        <w:t>proaches to small-scale farmers;</w:t>
      </w:r>
      <w:r w:rsidR="00DA4748">
        <w:rPr>
          <w:rFonts w:cs="Verdana"/>
          <w:lang w:val="en-US" w:eastAsia="en-GB"/>
        </w:rPr>
        <w:t xml:space="preserve"> and (</w:t>
      </w:r>
      <w:r w:rsidR="00C57C1F">
        <w:rPr>
          <w:rFonts w:cs="Verdana"/>
          <w:lang w:val="en-US" w:eastAsia="en-GB"/>
        </w:rPr>
        <w:t>d</w:t>
      </w:r>
      <w:r w:rsidR="00DA4748">
        <w:rPr>
          <w:rFonts w:cs="Verdana"/>
          <w:lang w:val="en-US" w:eastAsia="en-GB"/>
        </w:rPr>
        <w:t>) d</w:t>
      </w:r>
      <w:r w:rsidRPr="00C57C1F">
        <w:rPr>
          <w:rFonts w:cs="Verdana"/>
          <w:lang w:val="en-US" w:eastAsia="en-GB"/>
        </w:rPr>
        <w:t>ifficulties of accessibility</w:t>
      </w:r>
      <w:r w:rsidR="00B4188B" w:rsidRPr="00C57C1F">
        <w:rPr>
          <w:rFonts w:cs="Verdana"/>
          <w:lang w:val="en-US" w:eastAsia="en-GB"/>
        </w:rPr>
        <w:t xml:space="preserve"> to certain communities</w:t>
      </w:r>
      <w:r w:rsidRPr="00C57C1F">
        <w:rPr>
          <w:rFonts w:cs="Verdana"/>
          <w:lang w:val="en-US" w:eastAsia="en-GB"/>
        </w:rPr>
        <w:t xml:space="preserve"> during</w:t>
      </w:r>
      <w:r w:rsidR="00B4188B" w:rsidRPr="00C57C1F">
        <w:rPr>
          <w:rFonts w:cs="Verdana"/>
          <w:lang w:val="en-US" w:eastAsia="en-GB"/>
        </w:rPr>
        <w:t xml:space="preserve"> the</w:t>
      </w:r>
      <w:r w:rsidRPr="00C57C1F">
        <w:rPr>
          <w:rFonts w:cs="Verdana"/>
          <w:lang w:val="en-US" w:eastAsia="en-GB"/>
        </w:rPr>
        <w:t xml:space="preserve"> rainy season</w:t>
      </w:r>
      <w:r w:rsidR="00C57C1F">
        <w:rPr>
          <w:rFonts w:cs="Verdana"/>
          <w:lang w:val="en-US" w:eastAsia="en-GB"/>
        </w:rPr>
        <w:t>.</w:t>
      </w:r>
      <w:proofErr w:type="gramEnd"/>
    </w:p>
    <w:p w:rsidR="00E00E34" w:rsidRDefault="00C57C1F" w:rsidP="006935C4">
      <w:pPr>
        <w:pStyle w:val="ListParagraph"/>
        <w:numPr>
          <w:ilvl w:val="0"/>
          <w:numId w:val="10"/>
        </w:numPr>
        <w:spacing w:after="120"/>
        <w:ind w:left="567" w:hanging="567"/>
        <w:contextualSpacing w:val="0"/>
      </w:pPr>
      <w:r w:rsidRPr="00C57C1F">
        <w:rPr>
          <w:b/>
          <w:bCs/>
          <w:lang w:val="en-GB"/>
        </w:rPr>
        <w:t>Summary.</w:t>
      </w:r>
      <w:r>
        <w:rPr>
          <w:lang w:val="en-GB"/>
        </w:rPr>
        <w:t xml:space="preserve"> </w:t>
      </w:r>
      <w:r w:rsidR="00AE1DAE">
        <w:rPr>
          <w:lang w:val="en-GB"/>
        </w:rPr>
        <w:t xml:space="preserve">Despite </w:t>
      </w:r>
      <w:r w:rsidR="004E7A41">
        <w:rPr>
          <w:lang w:val="en-GB"/>
        </w:rPr>
        <w:t xml:space="preserve">the </w:t>
      </w:r>
      <w:r w:rsidR="00AE1DAE">
        <w:rPr>
          <w:lang w:val="en-GB"/>
        </w:rPr>
        <w:t>delays in the first years of implementation and the factors hindering its effectiveness, SDP succeeded in introducing a new business model adopted by the private and the public</w:t>
      </w:r>
      <w:r>
        <w:rPr>
          <w:lang w:val="en-GB"/>
        </w:rPr>
        <w:t xml:space="preserve"> sector and by </w:t>
      </w:r>
      <w:r w:rsidR="00055D24">
        <w:rPr>
          <w:lang w:val="en-GB"/>
        </w:rPr>
        <w:t>s</w:t>
      </w:r>
      <w:r w:rsidR="00AE1DAE">
        <w:rPr>
          <w:lang w:val="en-GB"/>
        </w:rPr>
        <w:t xml:space="preserve">mallholder farmers. </w:t>
      </w:r>
      <w:r w:rsidR="00662659">
        <w:rPr>
          <w:lang w:val="en-GB"/>
        </w:rPr>
        <w:t xml:space="preserve">However, </w:t>
      </w:r>
      <w:r w:rsidR="00557A29">
        <w:rPr>
          <w:lang w:val="en-GB"/>
        </w:rPr>
        <w:t xml:space="preserve">more time </w:t>
      </w:r>
      <w:proofErr w:type="gramStart"/>
      <w:r w:rsidR="006935C4">
        <w:rPr>
          <w:lang w:val="en-GB"/>
        </w:rPr>
        <w:t>was</w:t>
      </w:r>
      <w:r w:rsidR="00557A29">
        <w:rPr>
          <w:lang w:val="en-GB"/>
        </w:rPr>
        <w:t xml:space="preserve"> needed</w:t>
      </w:r>
      <w:proofErr w:type="gramEnd"/>
      <w:r w:rsidR="00557A29">
        <w:rPr>
          <w:lang w:val="en-GB"/>
        </w:rPr>
        <w:t xml:space="preserve"> to refine the models</w:t>
      </w:r>
      <w:r>
        <w:rPr>
          <w:lang w:val="en-GB"/>
        </w:rPr>
        <w:t>, approaches</w:t>
      </w:r>
      <w:r w:rsidR="00557A29">
        <w:rPr>
          <w:lang w:val="en-GB"/>
        </w:rPr>
        <w:t xml:space="preserve"> and packages. W</w:t>
      </w:r>
      <w:r w:rsidR="00662659">
        <w:rPr>
          <w:lang w:val="en-GB"/>
        </w:rPr>
        <w:t xml:space="preserve">hile </w:t>
      </w:r>
      <w:r w:rsidR="00557A29">
        <w:rPr>
          <w:lang w:val="en-GB"/>
        </w:rPr>
        <w:t xml:space="preserve">uptake of improved seeds was </w:t>
      </w:r>
      <w:proofErr w:type="gramStart"/>
      <w:r w:rsidR="00B909E9">
        <w:rPr>
          <w:lang w:val="en-GB"/>
        </w:rPr>
        <w:t>reportedly</w:t>
      </w:r>
      <w:proofErr w:type="gramEnd"/>
      <w:r w:rsidR="00B909E9">
        <w:rPr>
          <w:lang w:val="en-GB"/>
        </w:rPr>
        <w:t xml:space="preserve"> </w:t>
      </w:r>
      <w:r w:rsidR="00557A29">
        <w:rPr>
          <w:lang w:val="en-GB"/>
        </w:rPr>
        <w:t xml:space="preserve">high and </w:t>
      </w:r>
      <w:r w:rsidR="00662659">
        <w:rPr>
          <w:lang w:val="en-GB"/>
        </w:rPr>
        <w:t xml:space="preserve">increased availability of improved seeds </w:t>
      </w:r>
      <w:r w:rsidR="00B909E9">
        <w:rPr>
          <w:lang w:val="en-GB"/>
        </w:rPr>
        <w:t xml:space="preserve">would have </w:t>
      </w:r>
      <w:r w:rsidR="00662659">
        <w:rPr>
          <w:lang w:val="en-GB"/>
        </w:rPr>
        <w:t>benefited many farmers</w:t>
      </w:r>
      <w:r w:rsidR="00557A29">
        <w:rPr>
          <w:lang w:val="en-GB"/>
        </w:rPr>
        <w:t xml:space="preserve">, the </w:t>
      </w:r>
      <w:r w:rsidR="00B909E9">
        <w:rPr>
          <w:lang w:val="en-GB"/>
        </w:rPr>
        <w:t xml:space="preserve">depth of </w:t>
      </w:r>
      <w:r w:rsidR="00557A29">
        <w:rPr>
          <w:lang w:val="en-GB"/>
        </w:rPr>
        <w:t>outreach and outcomes were less</w:t>
      </w:r>
      <w:r w:rsidR="00662659">
        <w:rPr>
          <w:lang w:val="en-GB"/>
        </w:rPr>
        <w:t xml:space="preserve"> than what the project could have achieved had it not been for the effective loss of half of the agricultural seasons during the project pe</w:t>
      </w:r>
      <w:r w:rsidR="00557A29">
        <w:rPr>
          <w:lang w:val="en-GB"/>
        </w:rPr>
        <w:t>r</w:t>
      </w:r>
      <w:r w:rsidR="00662659">
        <w:rPr>
          <w:lang w:val="en-GB"/>
        </w:rPr>
        <w:t xml:space="preserve">iod. </w:t>
      </w:r>
      <w:r w:rsidR="006935C4" w:rsidRPr="00EC1C8A">
        <w:rPr>
          <w:lang w:val="en-GB"/>
        </w:rPr>
        <w:t>The outcomes with regard to institutional and regulatory environment also fell short of the expectations (i.e. legislations, FSA).</w:t>
      </w:r>
      <w:r w:rsidR="006935C4">
        <w:rPr>
          <w:lang w:val="en-GB"/>
        </w:rPr>
        <w:t xml:space="preserve"> </w:t>
      </w:r>
      <w:r w:rsidR="00AE1DAE">
        <w:rPr>
          <w:lang w:val="en-GB"/>
        </w:rPr>
        <w:t>The</w:t>
      </w:r>
      <w:r w:rsidR="00351BBB">
        <w:t xml:space="preserve"> </w:t>
      </w:r>
      <w:r w:rsidR="00D15B29">
        <w:t>PCRV rates e</w:t>
      </w:r>
      <w:r w:rsidR="00E00E34">
        <w:t xml:space="preserve">ffectiveness </w:t>
      </w:r>
      <w:r w:rsidR="00662659" w:rsidRPr="00662659">
        <w:rPr>
          <w:i/>
          <w:iCs/>
        </w:rPr>
        <w:t xml:space="preserve">moderately </w:t>
      </w:r>
      <w:r w:rsidR="00E00E34" w:rsidRPr="00351BBB">
        <w:rPr>
          <w:i/>
          <w:iCs/>
        </w:rPr>
        <w:t>satisfactory (</w:t>
      </w:r>
      <w:r w:rsidR="00662659">
        <w:rPr>
          <w:i/>
          <w:iCs/>
        </w:rPr>
        <w:t>4</w:t>
      </w:r>
      <w:r w:rsidR="00E00E34" w:rsidRPr="00351BBB">
        <w:rPr>
          <w:i/>
          <w:iCs/>
        </w:rPr>
        <w:t>)</w:t>
      </w:r>
      <w:r w:rsidR="00E00E34">
        <w:t xml:space="preserve">, </w:t>
      </w:r>
      <w:r w:rsidR="00662659">
        <w:t>one point</w:t>
      </w:r>
      <w:r w:rsidR="00DC1981">
        <w:t xml:space="preserve"> below</w:t>
      </w:r>
      <w:r w:rsidR="00E00E34">
        <w:t xml:space="preserve"> the </w:t>
      </w:r>
      <w:r w:rsidR="00662659">
        <w:t>PCR</w:t>
      </w:r>
      <w:r w:rsidR="00E00E34">
        <w:t xml:space="preserve"> rating.</w:t>
      </w:r>
    </w:p>
    <w:p w:rsidR="004139C4" w:rsidRDefault="004139C4" w:rsidP="00BD5F4F">
      <w:pPr>
        <w:pStyle w:val="ListParagraph"/>
        <w:spacing w:after="40"/>
        <w:ind w:left="567"/>
        <w:contextualSpacing w:val="0"/>
        <w:rPr>
          <w:b/>
          <w:bCs/>
          <w:sz w:val="22"/>
          <w:szCs w:val="22"/>
        </w:rPr>
      </w:pPr>
      <w:r w:rsidRPr="007F2A98">
        <w:rPr>
          <w:b/>
          <w:bCs/>
          <w:sz w:val="22"/>
          <w:szCs w:val="22"/>
        </w:rPr>
        <w:t>Efficiency</w:t>
      </w:r>
    </w:p>
    <w:p w:rsidR="00795003" w:rsidRPr="00557A29" w:rsidRDefault="000106FA" w:rsidP="00B10686">
      <w:pPr>
        <w:pStyle w:val="ListParagraph"/>
        <w:numPr>
          <w:ilvl w:val="0"/>
          <w:numId w:val="10"/>
        </w:numPr>
        <w:spacing w:after="120"/>
        <w:ind w:left="567" w:hanging="567"/>
        <w:contextualSpacing w:val="0"/>
      </w:pPr>
      <w:r>
        <w:t xml:space="preserve">SDP became effective </w:t>
      </w:r>
      <w:r w:rsidR="00782B0D">
        <w:t>two</w:t>
      </w:r>
      <w:r>
        <w:t xml:space="preserve"> months after its </w:t>
      </w:r>
      <w:r w:rsidR="00795003">
        <w:t>approval, which</w:t>
      </w:r>
      <w:r>
        <w:t xml:space="preserve"> is </w:t>
      </w:r>
      <w:r w:rsidR="00EB7409">
        <w:t>positive since</w:t>
      </w:r>
      <w:r>
        <w:t xml:space="preserve"> the average </w:t>
      </w:r>
      <w:r w:rsidR="00EB7409">
        <w:t>time in Sudan is</w:t>
      </w:r>
      <w:r>
        <w:t xml:space="preserve"> eight months.</w:t>
      </w:r>
      <w:r w:rsidR="00EB7409">
        <w:rPr>
          <w:rStyle w:val="FootnoteReference"/>
        </w:rPr>
        <w:footnoteReference w:id="28"/>
      </w:r>
      <w:r w:rsidR="00EB7409">
        <w:t xml:space="preserve"> </w:t>
      </w:r>
      <w:r w:rsidR="00B10686">
        <w:t xml:space="preserve">However, the project experienced significant delays in the initial years and lost almost half of the implementation period, with implications on the </w:t>
      </w:r>
      <w:r w:rsidR="00F0079B">
        <w:rPr>
          <w:lang w:val="en-AU"/>
        </w:rPr>
        <w:t xml:space="preserve">benefits </w:t>
      </w:r>
      <w:r w:rsidR="00B10686">
        <w:rPr>
          <w:lang w:val="en-AU"/>
        </w:rPr>
        <w:t>generated</w:t>
      </w:r>
      <w:r w:rsidR="00F0079B">
        <w:rPr>
          <w:lang w:val="en-AU"/>
        </w:rPr>
        <w:t xml:space="preserve">. </w:t>
      </w:r>
      <w:r w:rsidR="00C57C1F">
        <w:rPr>
          <w:lang w:val="en-AU"/>
        </w:rPr>
        <w:t>T</w:t>
      </w:r>
      <w:r w:rsidR="00F0079B">
        <w:rPr>
          <w:lang w:val="en-AU"/>
        </w:rPr>
        <w:t xml:space="preserve">he implementation accelerated in the post-MTR period, and at </w:t>
      </w:r>
      <w:r w:rsidR="00F0079B" w:rsidRPr="00557A29">
        <w:rPr>
          <w:lang w:val="en-AU"/>
        </w:rPr>
        <w:t xml:space="preserve">completion </w:t>
      </w:r>
      <w:r w:rsidR="00EB7409" w:rsidRPr="00557A29">
        <w:t xml:space="preserve">IFAD financing disbursement was </w:t>
      </w:r>
      <w:r w:rsidR="00951671" w:rsidRPr="00557A29">
        <w:t>100</w:t>
      </w:r>
      <w:r w:rsidR="00EB7409" w:rsidRPr="00557A29">
        <w:t xml:space="preserve"> per cent</w:t>
      </w:r>
      <w:r w:rsidR="00C57C1F">
        <w:t>.</w:t>
      </w:r>
      <w:r w:rsidR="00F65983" w:rsidRPr="00557A29">
        <w:rPr>
          <w:rStyle w:val="FootnoteReference"/>
        </w:rPr>
        <w:footnoteReference w:id="29"/>
      </w:r>
    </w:p>
    <w:p w:rsidR="00F0079B" w:rsidRDefault="00795003" w:rsidP="000C35DE">
      <w:pPr>
        <w:pStyle w:val="ListParagraph"/>
        <w:numPr>
          <w:ilvl w:val="0"/>
          <w:numId w:val="10"/>
        </w:numPr>
        <w:spacing w:after="120"/>
        <w:ind w:left="567" w:hanging="567"/>
        <w:contextualSpacing w:val="0"/>
      </w:pPr>
      <w:r w:rsidRPr="00557A29">
        <w:rPr>
          <w:rFonts w:cs="Verdana"/>
          <w:color w:val="000000"/>
          <w:lang w:val="en-GB" w:eastAsia="en-GB"/>
        </w:rPr>
        <w:t>Component 4</w:t>
      </w:r>
      <w:r w:rsidR="00B675D2" w:rsidRPr="00557A29">
        <w:rPr>
          <w:rFonts w:cs="Verdana"/>
          <w:color w:val="000000"/>
          <w:lang w:val="en-GB" w:eastAsia="en-GB"/>
        </w:rPr>
        <w:t xml:space="preserve"> </w:t>
      </w:r>
      <w:r w:rsidR="00B675D2" w:rsidRPr="00557A29">
        <w:rPr>
          <w:rFonts w:cs="Verdana"/>
          <w:b/>
          <w:bCs/>
          <w:color w:val="000000"/>
          <w:lang w:val="en-GB" w:eastAsia="en-GB"/>
        </w:rPr>
        <w:t xml:space="preserve">project </w:t>
      </w:r>
      <w:r w:rsidRPr="00557A29">
        <w:rPr>
          <w:rFonts w:cs="Verdana"/>
          <w:b/>
          <w:bCs/>
          <w:color w:val="000000"/>
          <w:lang w:val="en-GB" w:eastAsia="en-GB"/>
        </w:rPr>
        <w:t xml:space="preserve">coordination </w:t>
      </w:r>
      <w:r w:rsidR="00B675D2" w:rsidRPr="00557A29">
        <w:rPr>
          <w:rFonts w:cs="Verdana"/>
          <w:b/>
          <w:bCs/>
          <w:color w:val="000000"/>
          <w:lang w:val="en-GB" w:eastAsia="en-GB"/>
        </w:rPr>
        <w:t xml:space="preserve">and management </w:t>
      </w:r>
      <w:r w:rsidRPr="00557A29">
        <w:rPr>
          <w:rFonts w:cs="Verdana"/>
          <w:b/>
          <w:bCs/>
          <w:color w:val="000000"/>
          <w:lang w:val="en-GB" w:eastAsia="en-GB"/>
        </w:rPr>
        <w:t>cost</w:t>
      </w:r>
      <w:r w:rsidR="00B675D2" w:rsidRPr="00557A29">
        <w:t xml:space="preserve"> </w:t>
      </w:r>
      <w:r w:rsidR="006E4AEB" w:rsidRPr="00557A29">
        <w:t>amounted to 35 per cent of the total project</w:t>
      </w:r>
      <w:r w:rsidR="00F0079B" w:rsidRPr="00557A29">
        <w:t xml:space="preserve"> cost</w:t>
      </w:r>
      <w:r w:rsidR="00557A29">
        <w:t xml:space="preserve"> reported</w:t>
      </w:r>
      <w:r w:rsidR="005609FC" w:rsidRPr="00557A29">
        <w:t xml:space="preserve">, </w:t>
      </w:r>
      <w:r w:rsidR="00BA21AD" w:rsidRPr="00557A29">
        <w:t xml:space="preserve">significantly </w:t>
      </w:r>
      <w:r w:rsidR="005609FC" w:rsidRPr="00557A29">
        <w:t>higher than the estimate at appraisal (</w:t>
      </w:r>
      <w:r w:rsidR="00F377EE" w:rsidRPr="00557A29">
        <w:t>19 per cent</w:t>
      </w:r>
      <w:r w:rsidR="005609FC" w:rsidRPr="00557A29">
        <w:t>)</w:t>
      </w:r>
      <w:r w:rsidR="00C57C1F">
        <w:t>, which was already relatively high</w:t>
      </w:r>
      <w:r w:rsidR="00E3238D" w:rsidRPr="00557A29">
        <w:t>.</w:t>
      </w:r>
      <w:r w:rsidR="002136A4" w:rsidRPr="00557A29">
        <w:t xml:space="preserve"> </w:t>
      </w:r>
      <w:r w:rsidR="000C35DE">
        <w:t>T</w:t>
      </w:r>
      <w:r w:rsidR="00F0079B" w:rsidRPr="00557A29">
        <w:t xml:space="preserve">he proportion </w:t>
      </w:r>
      <w:r w:rsidR="00B909E9">
        <w:t>w</w:t>
      </w:r>
      <w:r w:rsidR="00F0079B" w:rsidRPr="00557A29">
        <w:t xml:space="preserve">ould be lower </w:t>
      </w:r>
      <w:r w:rsidR="000C35DE">
        <w:t xml:space="preserve">than 35 per cent </w:t>
      </w:r>
      <w:r w:rsidR="00F0079B" w:rsidRPr="00557A29">
        <w:t>if the actual contributions by the beneficiaries</w:t>
      </w:r>
      <w:r w:rsidR="00F0079B">
        <w:t xml:space="preserve"> and PSCs (which would mostly be for other components) </w:t>
      </w:r>
      <w:proofErr w:type="gramStart"/>
      <w:r w:rsidR="00F0079B">
        <w:t>were considered</w:t>
      </w:r>
      <w:proofErr w:type="gramEnd"/>
      <w:r w:rsidR="00557A29">
        <w:t>. In terms of the absolute amount, the component cost was slightly lower than the budget (US$3.18 million compared to US$3.46 million)</w:t>
      </w:r>
      <w:r w:rsidR="00F0079B">
        <w:t xml:space="preserve">. </w:t>
      </w:r>
    </w:p>
    <w:p w:rsidR="002D5836" w:rsidRPr="00C57C1F" w:rsidRDefault="003B14C3" w:rsidP="00091141">
      <w:pPr>
        <w:pStyle w:val="ListParagraph"/>
        <w:numPr>
          <w:ilvl w:val="0"/>
          <w:numId w:val="10"/>
        </w:numPr>
        <w:spacing w:after="120"/>
        <w:ind w:left="567" w:hanging="567"/>
        <w:contextualSpacing w:val="0"/>
      </w:pPr>
      <w:r>
        <w:t xml:space="preserve">The PCR reported </w:t>
      </w:r>
      <w:proofErr w:type="gramStart"/>
      <w:r>
        <w:t xml:space="preserve">that </w:t>
      </w:r>
      <w:r w:rsidR="002136A4" w:rsidRPr="002D5836">
        <w:rPr>
          <w:rFonts w:cs="Verdana"/>
          <w:b/>
          <w:bCs/>
          <w:color w:val="000000"/>
          <w:lang w:val="en-GB" w:eastAsia="en-GB"/>
        </w:rPr>
        <w:t>economic</w:t>
      </w:r>
      <w:proofErr w:type="gramEnd"/>
      <w:r w:rsidR="002136A4" w:rsidRPr="002D5836">
        <w:rPr>
          <w:rFonts w:cs="Verdana"/>
          <w:b/>
          <w:bCs/>
          <w:color w:val="000000"/>
          <w:lang w:val="en-GB" w:eastAsia="en-GB"/>
        </w:rPr>
        <w:t xml:space="preserve"> internal</w:t>
      </w:r>
      <w:r w:rsidR="00795003" w:rsidRPr="002D5836">
        <w:rPr>
          <w:rFonts w:cs="Verdana"/>
          <w:b/>
          <w:bCs/>
          <w:color w:val="000000"/>
          <w:lang w:val="en-GB" w:eastAsia="en-GB"/>
        </w:rPr>
        <w:t xml:space="preserve"> rate of return</w:t>
      </w:r>
      <w:r w:rsidR="00795003" w:rsidRPr="002D5836">
        <w:rPr>
          <w:rFonts w:cs="Verdana"/>
          <w:color w:val="000000"/>
          <w:lang w:val="en-GB" w:eastAsia="en-GB"/>
        </w:rPr>
        <w:t xml:space="preserve"> </w:t>
      </w:r>
      <w:r w:rsidR="002136A4" w:rsidRPr="002D5836">
        <w:rPr>
          <w:rFonts w:cs="Verdana"/>
          <w:color w:val="000000"/>
          <w:lang w:val="en-GB" w:eastAsia="en-GB"/>
        </w:rPr>
        <w:t xml:space="preserve">calculated </w:t>
      </w:r>
      <w:r w:rsidR="00795003" w:rsidRPr="002D5836">
        <w:rPr>
          <w:rFonts w:cs="Verdana"/>
          <w:color w:val="000000"/>
          <w:lang w:val="en-GB" w:eastAsia="en-GB"/>
        </w:rPr>
        <w:t xml:space="preserve">at completion </w:t>
      </w:r>
      <w:r w:rsidR="002136A4" w:rsidRPr="002D5836">
        <w:rPr>
          <w:rFonts w:cs="Verdana"/>
          <w:color w:val="000000"/>
          <w:lang w:val="en-GB" w:eastAsia="en-GB"/>
        </w:rPr>
        <w:t>(</w:t>
      </w:r>
      <w:r w:rsidR="00307C22">
        <w:t>14.9 per cent</w:t>
      </w:r>
      <w:r w:rsidR="002136A4">
        <w:t xml:space="preserve">) </w:t>
      </w:r>
      <w:r w:rsidR="00C765F3">
        <w:t>wa</w:t>
      </w:r>
      <w:r w:rsidR="002136A4">
        <w:t>s lower than the estimate at appraisal (</w:t>
      </w:r>
      <w:r w:rsidR="00307C22">
        <w:t>26 per cent</w:t>
      </w:r>
      <w:r w:rsidR="002136A4">
        <w:t>)</w:t>
      </w:r>
      <w:r w:rsidR="00C765F3">
        <w:t xml:space="preserve"> but also noted that</w:t>
      </w:r>
      <w:r w:rsidR="00CB0A36" w:rsidRPr="00A738D2">
        <w:rPr>
          <w:lang w:val="en-GB"/>
        </w:rPr>
        <w:t xml:space="preserve"> assumptions made at design </w:t>
      </w:r>
      <w:r w:rsidR="00CB0A36">
        <w:rPr>
          <w:lang w:val="en-GB"/>
        </w:rPr>
        <w:t>were</w:t>
      </w:r>
      <w:r w:rsidR="00CB0A36" w:rsidRPr="00A738D2">
        <w:rPr>
          <w:lang w:val="en-GB"/>
        </w:rPr>
        <w:t xml:space="preserve"> rather </w:t>
      </w:r>
      <w:r w:rsidR="00CB0A36">
        <w:rPr>
          <w:lang w:val="en-GB"/>
        </w:rPr>
        <w:t>unrealistic</w:t>
      </w:r>
      <w:r w:rsidR="00CB0A36" w:rsidRPr="00A738D2">
        <w:rPr>
          <w:lang w:val="en-GB"/>
        </w:rPr>
        <w:t>.</w:t>
      </w:r>
      <w:r w:rsidR="00CB0A36">
        <w:rPr>
          <w:lang w:val="en-GB"/>
        </w:rPr>
        <w:t xml:space="preserve"> </w:t>
      </w:r>
      <w:r w:rsidR="00C57C1F">
        <w:rPr>
          <w:lang w:val="en-GB"/>
        </w:rPr>
        <w:t xml:space="preserve">However, it </w:t>
      </w:r>
      <w:proofErr w:type="gramStart"/>
      <w:r w:rsidR="00C57C1F">
        <w:rPr>
          <w:lang w:val="en-GB"/>
        </w:rPr>
        <w:t>is</w:t>
      </w:r>
      <w:r w:rsidR="00C765F3">
        <w:rPr>
          <w:lang w:val="en-GB"/>
        </w:rPr>
        <w:t xml:space="preserve"> noted</w:t>
      </w:r>
      <w:proofErr w:type="gramEnd"/>
      <w:r w:rsidR="00C765F3">
        <w:rPr>
          <w:lang w:val="en-GB"/>
        </w:rPr>
        <w:t xml:space="preserve"> that the design report had inconsistent figures in different parts of the report, including 13 per cent</w:t>
      </w:r>
      <w:r w:rsidR="00CB0A36" w:rsidRPr="00A738D2">
        <w:rPr>
          <w:lang w:val="en-GB"/>
        </w:rPr>
        <w:t>.</w:t>
      </w:r>
      <w:r w:rsidR="00CB0A36">
        <w:rPr>
          <w:rStyle w:val="FootnoteReference"/>
          <w:lang w:val="en-GB"/>
        </w:rPr>
        <w:footnoteReference w:id="30"/>
      </w:r>
      <w:r w:rsidR="00CB0A36" w:rsidRPr="00A738D2">
        <w:rPr>
          <w:lang w:val="en-GB"/>
        </w:rPr>
        <w:t xml:space="preserve"> </w:t>
      </w:r>
      <w:r w:rsidR="002D5836">
        <w:t xml:space="preserve">A review conducted in the context of the CSPE noted </w:t>
      </w:r>
      <w:r w:rsidR="00810593">
        <w:t>a number of assumptions that might have led to</w:t>
      </w:r>
      <w:r w:rsidR="00F0079B">
        <w:t xml:space="preserve"> both overestimation and underestimation. On the former (overestimation), </w:t>
      </w:r>
      <w:r w:rsidR="00B16205">
        <w:t xml:space="preserve">the </w:t>
      </w:r>
      <w:r w:rsidR="00B320A3" w:rsidRPr="00CB0A36">
        <w:t xml:space="preserve">assumption on self-consumption of </w:t>
      </w:r>
      <w:r w:rsidR="000177A6" w:rsidRPr="00CB0A36">
        <w:t xml:space="preserve">the sorghum </w:t>
      </w:r>
      <w:r w:rsidR="00B320A3" w:rsidRPr="00CB0A36">
        <w:t>(</w:t>
      </w:r>
      <w:r w:rsidR="000177A6" w:rsidRPr="00CB0A36">
        <w:t>a main staple crop</w:t>
      </w:r>
      <w:r w:rsidR="00B320A3" w:rsidRPr="00CB0A36">
        <w:t xml:space="preserve">) </w:t>
      </w:r>
      <w:r w:rsidR="00F0079B">
        <w:t xml:space="preserve">and </w:t>
      </w:r>
      <w:r w:rsidR="00B37927">
        <w:t xml:space="preserve">an </w:t>
      </w:r>
      <w:r w:rsidR="002D5836" w:rsidRPr="002D5836">
        <w:rPr>
          <w:lang w:val="en-AU"/>
        </w:rPr>
        <w:t xml:space="preserve">overlap </w:t>
      </w:r>
      <w:r w:rsidR="00121737">
        <w:rPr>
          <w:lang w:val="en-AU"/>
        </w:rPr>
        <w:t>of beneficiaries betwee</w:t>
      </w:r>
      <w:r w:rsidR="00DC1981">
        <w:rPr>
          <w:lang w:val="en-AU"/>
        </w:rPr>
        <w:t>n</w:t>
      </w:r>
      <w:r w:rsidR="00121737">
        <w:rPr>
          <w:lang w:val="en-AU"/>
        </w:rPr>
        <w:t xml:space="preserve"> </w:t>
      </w:r>
      <w:r w:rsidR="002D5836" w:rsidRPr="002D5836">
        <w:rPr>
          <w:lang w:val="en-AU"/>
        </w:rPr>
        <w:t xml:space="preserve">WSRMP and SDP activities </w:t>
      </w:r>
      <w:proofErr w:type="gramStart"/>
      <w:r w:rsidR="002D5836" w:rsidRPr="002D5836">
        <w:rPr>
          <w:lang w:val="en-AU"/>
        </w:rPr>
        <w:t>were not fully taken</w:t>
      </w:r>
      <w:proofErr w:type="gramEnd"/>
      <w:r w:rsidR="002D5836" w:rsidRPr="002D5836">
        <w:rPr>
          <w:lang w:val="en-AU"/>
        </w:rPr>
        <w:t xml:space="preserve"> into account in the </w:t>
      </w:r>
      <w:r w:rsidR="00121737">
        <w:rPr>
          <w:lang w:val="en-AU"/>
        </w:rPr>
        <w:t>economic and financial</w:t>
      </w:r>
      <w:r w:rsidR="002D5836" w:rsidRPr="002D5836">
        <w:rPr>
          <w:lang w:val="en-AU"/>
        </w:rPr>
        <w:t xml:space="preserve"> analysis. </w:t>
      </w:r>
      <w:r w:rsidR="00810593">
        <w:rPr>
          <w:lang w:val="en-AU"/>
        </w:rPr>
        <w:t>On the latter (underestimat</w:t>
      </w:r>
      <w:r w:rsidR="00C92DE3">
        <w:rPr>
          <w:lang w:val="en-AU"/>
        </w:rPr>
        <w:t xml:space="preserve">ion), </w:t>
      </w:r>
      <w:r w:rsidR="00810593">
        <w:rPr>
          <w:lang w:val="en-AU"/>
        </w:rPr>
        <w:t xml:space="preserve">the number of grain producing beneficiaries </w:t>
      </w:r>
      <w:r w:rsidR="00557A29">
        <w:rPr>
          <w:lang w:val="en-AU"/>
        </w:rPr>
        <w:t xml:space="preserve">and the area under cultivation </w:t>
      </w:r>
      <w:r w:rsidR="00810593">
        <w:rPr>
          <w:lang w:val="en-AU"/>
        </w:rPr>
        <w:t xml:space="preserve">used in the analysis </w:t>
      </w:r>
      <w:r w:rsidR="00F35B73">
        <w:rPr>
          <w:lang w:val="en-AU"/>
        </w:rPr>
        <w:t xml:space="preserve">(excel spreadsheet) appear to be </w:t>
      </w:r>
      <w:r w:rsidR="00557A29">
        <w:rPr>
          <w:lang w:val="en-AU"/>
        </w:rPr>
        <w:t>low</w:t>
      </w:r>
      <w:r w:rsidR="00C92DE3">
        <w:rPr>
          <w:lang w:val="en-AU"/>
        </w:rPr>
        <w:t xml:space="preserve"> for some reason</w:t>
      </w:r>
      <w:r w:rsidR="00B16205">
        <w:rPr>
          <w:lang w:val="en-AU"/>
        </w:rPr>
        <w:t>, also in view of the increased availability and uptake of improved seeds through informal channels</w:t>
      </w:r>
      <w:r w:rsidR="00C92DE3">
        <w:rPr>
          <w:lang w:val="en-AU"/>
        </w:rPr>
        <w:t xml:space="preserve">. Furthermore, the benefits to service providers supported by the project (e.g. </w:t>
      </w:r>
      <w:r w:rsidR="00093D76">
        <w:rPr>
          <w:lang w:val="en-AU"/>
        </w:rPr>
        <w:t>agro-dealers/traders, mechanized</w:t>
      </w:r>
      <w:r w:rsidR="00C92DE3">
        <w:rPr>
          <w:lang w:val="en-AU"/>
        </w:rPr>
        <w:t xml:space="preserve">/spray service providers) </w:t>
      </w:r>
      <w:proofErr w:type="gramStart"/>
      <w:r w:rsidR="00C92DE3">
        <w:rPr>
          <w:lang w:val="en-AU"/>
        </w:rPr>
        <w:t>are not considered</w:t>
      </w:r>
      <w:proofErr w:type="gramEnd"/>
      <w:r w:rsidR="00C92DE3">
        <w:rPr>
          <w:lang w:val="en-AU"/>
        </w:rPr>
        <w:t xml:space="preserve"> in the analysis. </w:t>
      </w:r>
      <w:r w:rsidR="00B16205">
        <w:rPr>
          <w:lang w:val="en-AU"/>
        </w:rPr>
        <w:t>Consequently, it appe</w:t>
      </w:r>
      <w:r w:rsidR="00B10686">
        <w:rPr>
          <w:lang w:val="en-AU"/>
        </w:rPr>
        <w:t xml:space="preserve">ars that the economic return could be in the similar range of what </w:t>
      </w:r>
      <w:proofErr w:type="gramStart"/>
      <w:r w:rsidR="00B10686">
        <w:rPr>
          <w:lang w:val="en-AU"/>
        </w:rPr>
        <w:t>was estimated</w:t>
      </w:r>
      <w:proofErr w:type="gramEnd"/>
      <w:r w:rsidR="00B10686">
        <w:rPr>
          <w:lang w:val="en-AU"/>
        </w:rPr>
        <w:t xml:space="preserve"> in the PCR</w:t>
      </w:r>
      <w:r w:rsidR="00B16205">
        <w:rPr>
          <w:lang w:val="en-AU"/>
        </w:rPr>
        <w:t xml:space="preserve">. </w:t>
      </w:r>
    </w:p>
    <w:p w:rsidR="008B68FB" w:rsidRPr="006032C4" w:rsidRDefault="005609FC" w:rsidP="00523ACE">
      <w:pPr>
        <w:pStyle w:val="ListParagraph"/>
        <w:numPr>
          <w:ilvl w:val="0"/>
          <w:numId w:val="10"/>
        </w:numPr>
        <w:spacing w:after="120"/>
        <w:ind w:left="567" w:hanging="567"/>
        <w:contextualSpacing w:val="0"/>
      </w:pPr>
      <w:r>
        <w:t>In light of the above</w:t>
      </w:r>
      <w:r w:rsidR="00C57C1F">
        <w:t>,</w:t>
      </w:r>
      <w:r>
        <w:t xml:space="preserve"> </w:t>
      </w:r>
      <w:r w:rsidR="008B68FB">
        <w:t xml:space="preserve">Efficiency is rated </w:t>
      </w:r>
      <w:r w:rsidR="00DC1981" w:rsidRPr="00523ACE">
        <w:rPr>
          <w:i/>
          <w:iCs/>
        </w:rPr>
        <w:t xml:space="preserve">moderately </w:t>
      </w:r>
      <w:r w:rsidR="008B68FB" w:rsidRPr="00523ACE">
        <w:rPr>
          <w:i/>
          <w:iCs/>
        </w:rPr>
        <w:t>satisfactory (</w:t>
      </w:r>
      <w:r w:rsidR="00DC1981" w:rsidRPr="00523ACE">
        <w:rPr>
          <w:i/>
          <w:iCs/>
        </w:rPr>
        <w:t>4</w:t>
      </w:r>
      <w:r w:rsidR="008B68FB" w:rsidRPr="00523ACE">
        <w:rPr>
          <w:i/>
          <w:iCs/>
        </w:rPr>
        <w:t>),</w:t>
      </w:r>
      <w:r w:rsidR="008B68FB">
        <w:t xml:space="preserve"> </w:t>
      </w:r>
      <w:r w:rsidR="00DC1981">
        <w:t>one rating below</w:t>
      </w:r>
      <w:r w:rsidR="008B68FB">
        <w:t xml:space="preserve"> the PCR rating </w:t>
      </w:r>
    </w:p>
    <w:p w:rsidR="0024669D" w:rsidRPr="00307C22" w:rsidRDefault="0024669D" w:rsidP="00091141">
      <w:pPr>
        <w:pStyle w:val="ListParagraph"/>
        <w:spacing w:after="40"/>
        <w:ind w:left="567"/>
        <w:contextualSpacing w:val="0"/>
        <w:rPr>
          <w:b/>
          <w:bCs/>
          <w:sz w:val="22"/>
          <w:szCs w:val="22"/>
        </w:rPr>
      </w:pPr>
      <w:r w:rsidRPr="00307C22">
        <w:rPr>
          <w:b/>
          <w:bCs/>
          <w:sz w:val="22"/>
          <w:szCs w:val="22"/>
        </w:rPr>
        <w:t>Rural poverty impact</w:t>
      </w:r>
    </w:p>
    <w:p w:rsidR="003862CD" w:rsidRDefault="0098316F" w:rsidP="00B909E9">
      <w:pPr>
        <w:pStyle w:val="ListParagraph"/>
        <w:numPr>
          <w:ilvl w:val="0"/>
          <w:numId w:val="10"/>
        </w:numPr>
        <w:spacing w:after="120"/>
        <w:ind w:left="567" w:hanging="567"/>
        <w:contextualSpacing w:val="0"/>
      </w:pPr>
      <w:r w:rsidRPr="00F31232">
        <w:t>This section reviews the data presented in the PCR</w:t>
      </w:r>
      <w:r w:rsidR="00797429">
        <w:t>,</w:t>
      </w:r>
      <w:r w:rsidRPr="00F31232">
        <w:t xml:space="preserve"> which were drawn from </w:t>
      </w:r>
      <w:r w:rsidR="00284152">
        <w:t>one</w:t>
      </w:r>
      <w:r w:rsidR="004B517C">
        <w:t xml:space="preserve"> yearly assessment</w:t>
      </w:r>
      <w:r w:rsidR="00121737">
        <w:t xml:space="preserve"> conducted in 2017</w:t>
      </w:r>
      <w:r w:rsidR="004B517C">
        <w:t>,</w:t>
      </w:r>
      <w:r w:rsidR="001F0F90">
        <w:rPr>
          <w:rStyle w:val="FootnoteReference"/>
        </w:rPr>
        <w:footnoteReference w:id="31"/>
      </w:r>
      <w:r w:rsidR="004B517C">
        <w:t xml:space="preserve"> </w:t>
      </w:r>
      <w:r>
        <w:t xml:space="preserve">the </w:t>
      </w:r>
      <w:r w:rsidR="007A7008">
        <w:t>economic and financial analysis</w:t>
      </w:r>
      <w:r w:rsidR="00342268">
        <w:t xml:space="preserve">, and </w:t>
      </w:r>
      <w:r>
        <w:t>from the PCR field mission</w:t>
      </w:r>
      <w:r w:rsidR="00F14A88" w:rsidRPr="00F14A88">
        <w:t xml:space="preserve"> </w:t>
      </w:r>
      <w:r w:rsidR="00F14A88">
        <w:t>(</w:t>
      </w:r>
      <w:r w:rsidR="00F14A88" w:rsidRPr="00F14A88">
        <w:t>interview</w:t>
      </w:r>
      <w:r w:rsidR="00F14A88">
        <w:t>ing</w:t>
      </w:r>
      <w:r w:rsidR="00F14A88" w:rsidRPr="00F14A88">
        <w:t xml:space="preserve"> a sample of 46 beneficiaries and us</w:t>
      </w:r>
      <w:r w:rsidR="00F14A88">
        <w:t>ing</w:t>
      </w:r>
      <w:r w:rsidR="00F14A88" w:rsidRPr="00F14A88">
        <w:t xml:space="preserve"> proxy indicators, namely for the </w:t>
      </w:r>
      <w:r w:rsidR="00F14A88" w:rsidRPr="00F14A88">
        <w:rPr>
          <w:i/>
          <w:iCs/>
        </w:rPr>
        <w:t>household incomes and assets</w:t>
      </w:r>
      <w:r w:rsidR="00F14A88" w:rsidRPr="00F14A88">
        <w:t xml:space="preserve"> and </w:t>
      </w:r>
      <w:r w:rsidR="00F14A88" w:rsidRPr="00F14A88">
        <w:rPr>
          <w:i/>
          <w:iCs/>
        </w:rPr>
        <w:t>food security</w:t>
      </w:r>
      <w:r w:rsidR="003172EC">
        <w:t>, interviewing</w:t>
      </w:r>
      <w:r w:rsidR="00F14A88">
        <w:t>)</w:t>
      </w:r>
      <w:r w:rsidR="007A7008">
        <w:t>.</w:t>
      </w:r>
      <w:r w:rsidR="007A7008">
        <w:rPr>
          <w:rStyle w:val="FootnoteReference"/>
        </w:rPr>
        <w:footnoteReference w:id="32"/>
      </w:r>
      <w:r w:rsidR="00342268">
        <w:t xml:space="preserve"> </w:t>
      </w:r>
      <w:r>
        <w:t xml:space="preserve">A final household impact assessment </w:t>
      </w:r>
      <w:proofErr w:type="gramStart"/>
      <w:r>
        <w:t xml:space="preserve">was not </w:t>
      </w:r>
      <w:r w:rsidR="004B517C">
        <w:t>carried out</w:t>
      </w:r>
      <w:proofErr w:type="gramEnd"/>
      <w:r w:rsidR="004B517C">
        <w:t xml:space="preserve">. </w:t>
      </w:r>
      <w:r w:rsidR="00B87927">
        <w:t>W</w:t>
      </w:r>
      <w:r w:rsidR="004B517C">
        <w:t>eaknesse</w:t>
      </w:r>
      <w:r w:rsidR="009349C8">
        <w:t>s</w:t>
      </w:r>
      <w:r w:rsidR="004B517C">
        <w:t xml:space="preserve"> in the M&amp;E system </w:t>
      </w:r>
      <w:proofErr w:type="gramStart"/>
      <w:r w:rsidR="004B517C">
        <w:t>were identified</w:t>
      </w:r>
      <w:proofErr w:type="gramEnd"/>
      <w:r w:rsidR="004B517C">
        <w:t xml:space="preserve"> by supervision reports</w:t>
      </w:r>
      <w:r w:rsidR="00791115">
        <w:t xml:space="preserve">, indicating that </w:t>
      </w:r>
      <w:r w:rsidR="00791115">
        <w:rPr>
          <w:bCs/>
        </w:rPr>
        <w:t>availability of data relevant for evaluation of project impact was low.</w:t>
      </w:r>
      <w:r w:rsidR="00791115">
        <w:rPr>
          <w:rStyle w:val="FootnoteReference"/>
          <w:bCs/>
        </w:rPr>
        <w:footnoteReference w:id="33"/>
      </w:r>
      <w:r w:rsidR="004B517C">
        <w:t xml:space="preserve"> </w:t>
      </w:r>
      <w:proofErr w:type="gramStart"/>
      <w:r w:rsidR="00791115">
        <w:t>H</w:t>
      </w:r>
      <w:r w:rsidR="004B517C">
        <w:t>ence</w:t>
      </w:r>
      <w:proofErr w:type="gramEnd"/>
      <w:r w:rsidR="004B517C">
        <w:t xml:space="preserve"> the reliability of data can be questioned.</w:t>
      </w:r>
      <w:r>
        <w:t xml:space="preserve"> </w:t>
      </w:r>
      <w:r w:rsidR="00BE1DC2">
        <w:t xml:space="preserve">It </w:t>
      </w:r>
      <w:r w:rsidR="006E5EFC">
        <w:t xml:space="preserve">needs to be kept in mind that a majority of the communities/beneficiaries also benefited from WSRMP, which </w:t>
      </w:r>
      <w:r w:rsidR="00B909E9">
        <w:t>included support for</w:t>
      </w:r>
      <w:r w:rsidR="006E5EFC">
        <w:t xml:space="preserve"> crop production</w:t>
      </w:r>
      <w:r w:rsidR="00B909E9">
        <w:t xml:space="preserve"> among a wide range of </w:t>
      </w:r>
      <w:proofErr w:type="gramStart"/>
      <w:r w:rsidR="00B909E9">
        <w:t>interventions</w:t>
      </w:r>
      <w:r w:rsidR="006E5EFC">
        <w:t>,</w:t>
      </w:r>
      <w:proofErr w:type="gramEnd"/>
      <w:r w:rsidR="006E5EFC">
        <w:t xml:space="preserve"> hence it is difficult to isolate the impact attributable to SDP.  </w:t>
      </w:r>
    </w:p>
    <w:p w:rsidR="00DB65F6" w:rsidRPr="00EC1C8A" w:rsidRDefault="00A63CBD">
      <w:pPr>
        <w:pStyle w:val="ListParagraph"/>
        <w:numPr>
          <w:ilvl w:val="0"/>
          <w:numId w:val="10"/>
        </w:numPr>
        <w:spacing w:after="120"/>
        <w:ind w:left="567" w:hanging="567"/>
        <w:contextualSpacing w:val="0"/>
      </w:pPr>
      <w:r w:rsidRPr="00EC1C8A">
        <w:rPr>
          <w:b/>
          <w:bCs/>
        </w:rPr>
        <w:t>Household incomes and assets.</w:t>
      </w:r>
      <w:r w:rsidR="00921B69" w:rsidRPr="00EC1C8A">
        <w:t xml:space="preserve"> </w:t>
      </w:r>
      <w:r w:rsidR="00630B0C" w:rsidRPr="00EC1C8A">
        <w:t>T</w:t>
      </w:r>
      <w:r w:rsidR="00921B69" w:rsidRPr="00EC1C8A">
        <w:t xml:space="preserve">he PCR </w:t>
      </w:r>
      <w:r w:rsidR="00F14A88" w:rsidRPr="00EC1C8A">
        <w:t>indicated an increase in the</w:t>
      </w:r>
      <w:r w:rsidR="00DF3FF6" w:rsidRPr="00EC1C8A">
        <w:t xml:space="preserve"> household asset ownership</w:t>
      </w:r>
      <w:r w:rsidR="00AF7D61" w:rsidRPr="00EC1C8A">
        <w:t xml:space="preserve"> </w:t>
      </w:r>
      <w:r w:rsidR="00AB4D02" w:rsidRPr="00EC1C8A">
        <w:t>(comparing “before SDP” and “after SDP”</w:t>
      </w:r>
      <w:r w:rsidR="00AB4D02" w:rsidRPr="00EC1C8A">
        <w:rPr>
          <w:rStyle w:val="FootnoteReference"/>
        </w:rPr>
        <w:footnoteReference w:id="34"/>
      </w:r>
      <w:r w:rsidR="00AB4D02" w:rsidRPr="00EC1C8A">
        <w:t xml:space="preserve">) </w:t>
      </w:r>
      <w:r w:rsidR="00B87927" w:rsidRPr="00EC1C8A">
        <w:t xml:space="preserve">but the source and accuracy of the data </w:t>
      </w:r>
      <w:proofErr w:type="gramStart"/>
      <w:r w:rsidR="00B87927" w:rsidRPr="00EC1C8A">
        <w:t>can be questioned</w:t>
      </w:r>
      <w:proofErr w:type="gramEnd"/>
      <w:r w:rsidR="00921B69" w:rsidRPr="00EC1C8A">
        <w:t>.</w:t>
      </w:r>
      <w:r w:rsidR="00AB4D02" w:rsidRPr="00EC1C8A">
        <w:rPr>
          <w:rStyle w:val="FootnoteReference"/>
        </w:rPr>
        <w:footnoteReference w:id="35"/>
      </w:r>
      <w:r w:rsidR="00AE23C8" w:rsidRPr="00EC1C8A">
        <w:t xml:space="preserve"> The impact of the project on income </w:t>
      </w:r>
      <w:proofErr w:type="gramStart"/>
      <w:r w:rsidR="00AE23C8" w:rsidRPr="00EC1C8A">
        <w:t>was not assessed</w:t>
      </w:r>
      <w:proofErr w:type="gramEnd"/>
      <w:r w:rsidR="00AE23C8" w:rsidRPr="00EC1C8A">
        <w:t xml:space="preserve"> by the PCR. </w:t>
      </w:r>
      <w:r w:rsidR="00281C3C" w:rsidRPr="00EC1C8A">
        <w:t xml:space="preserve">Instead, the PCR indicates “a large reduction of poverty perception from 51 per cent before project to 32 per cent with project”, but also here, the source of data (indicated as “yearly surveys”), the methodology used and their reliability </w:t>
      </w:r>
      <w:proofErr w:type="gramStart"/>
      <w:r w:rsidR="00281C3C" w:rsidRPr="00EC1C8A">
        <w:t xml:space="preserve">are not </w:t>
      </w:r>
      <w:r w:rsidR="00A550ED">
        <w:t xml:space="preserve">clearly </w:t>
      </w:r>
      <w:r w:rsidR="005F1EC6" w:rsidRPr="00EC1C8A">
        <w:t>explained</w:t>
      </w:r>
      <w:proofErr w:type="gramEnd"/>
      <w:r w:rsidR="00281C3C" w:rsidRPr="00EC1C8A">
        <w:t xml:space="preserve">. </w:t>
      </w:r>
      <w:r w:rsidR="004245B4" w:rsidRPr="00EC1C8A">
        <w:rPr>
          <w:bCs/>
          <w:lang w:val="en-SG"/>
        </w:rPr>
        <w:t xml:space="preserve">Without comprehensive and reliable data, the extent of impact and outreach is not clear. It is also not possible to attribute the increase to SDP without a comparison group. Furthermore, as noted earlier, many of them were also WSRMP beneficiaries. </w:t>
      </w:r>
      <w:r w:rsidR="00D564A2" w:rsidRPr="00EC1C8A">
        <w:t xml:space="preserve">The </w:t>
      </w:r>
      <w:r w:rsidR="004245B4" w:rsidRPr="00EC1C8A">
        <w:t xml:space="preserve">beneficiaries met </w:t>
      </w:r>
      <w:r w:rsidR="00D564A2" w:rsidRPr="00EC1C8A">
        <w:t xml:space="preserve">during the CSPE mission </w:t>
      </w:r>
      <w:r w:rsidR="005F1EC6" w:rsidRPr="00EC1C8A">
        <w:t>noted</w:t>
      </w:r>
      <w:r w:rsidR="00D564A2" w:rsidRPr="00EC1C8A">
        <w:t xml:space="preserve"> </w:t>
      </w:r>
      <w:r w:rsidR="000A794C" w:rsidRPr="00EC1C8A">
        <w:t>the project contributed to</w:t>
      </w:r>
      <w:r w:rsidR="001D1CB9" w:rsidRPr="00EC1C8A">
        <w:rPr>
          <w:bCs/>
          <w:lang w:val="en-SG"/>
        </w:rPr>
        <w:t xml:space="preserve"> </w:t>
      </w:r>
      <w:r w:rsidR="00D564A2" w:rsidRPr="00EC1C8A">
        <w:rPr>
          <w:bCs/>
          <w:lang w:val="en-SG"/>
        </w:rPr>
        <w:t>household incomes and assets</w:t>
      </w:r>
      <w:r w:rsidR="001D1CB9" w:rsidRPr="00EC1C8A">
        <w:rPr>
          <w:bCs/>
          <w:lang w:val="en-SG"/>
        </w:rPr>
        <w:t xml:space="preserve"> through improved agricultural production with</w:t>
      </w:r>
      <w:r w:rsidR="00D564A2" w:rsidRPr="00EC1C8A">
        <w:rPr>
          <w:bCs/>
          <w:lang w:val="en-SG"/>
        </w:rPr>
        <w:t xml:space="preserve"> access to </w:t>
      </w:r>
      <w:r w:rsidR="001D1CB9" w:rsidRPr="00EC1C8A">
        <w:rPr>
          <w:bCs/>
          <w:lang w:val="en-SG"/>
        </w:rPr>
        <w:t xml:space="preserve">inputs and </w:t>
      </w:r>
      <w:r w:rsidR="00D564A2" w:rsidRPr="00EC1C8A">
        <w:rPr>
          <w:bCs/>
          <w:lang w:val="en-SG"/>
        </w:rPr>
        <w:t>services</w:t>
      </w:r>
      <w:r w:rsidR="004245B4" w:rsidRPr="00EC1C8A">
        <w:rPr>
          <w:bCs/>
          <w:lang w:val="en-SG"/>
        </w:rPr>
        <w:t>, but the shared view was that the effective project duration was too short</w:t>
      </w:r>
      <w:r w:rsidR="00C71644" w:rsidRPr="00EC1C8A">
        <w:rPr>
          <w:bCs/>
          <w:lang w:val="en-SG"/>
        </w:rPr>
        <w:t>.</w:t>
      </w:r>
      <w:r w:rsidR="008E3357" w:rsidRPr="00EC1C8A">
        <w:rPr>
          <w:bCs/>
          <w:lang w:val="en-SG"/>
        </w:rPr>
        <w:t xml:space="preserve"> </w:t>
      </w:r>
    </w:p>
    <w:p w:rsidR="00BB3141" w:rsidRDefault="00A63CBD" w:rsidP="004E7A41">
      <w:pPr>
        <w:pStyle w:val="ListParagraph"/>
        <w:numPr>
          <w:ilvl w:val="0"/>
          <w:numId w:val="10"/>
        </w:numPr>
        <w:spacing w:after="120"/>
        <w:ind w:left="567" w:hanging="567"/>
        <w:contextualSpacing w:val="0"/>
      </w:pPr>
      <w:r w:rsidRPr="004E7A41">
        <w:rPr>
          <w:b/>
          <w:bCs/>
        </w:rPr>
        <w:t>Food security and agricultural productivity</w:t>
      </w:r>
      <w:r w:rsidR="0023030E" w:rsidRPr="00F173D8">
        <w:t xml:space="preserve">. </w:t>
      </w:r>
      <w:r w:rsidR="00BB3141">
        <w:t>The PCR indicated an improvement in the food security b</w:t>
      </w:r>
      <w:r w:rsidR="00905A2D">
        <w:t xml:space="preserve">ased on </w:t>
      </w:r>
      <w:r w:rsidR="004E7A41">
        <w:t>interviews</w:t>
      </w:r>
      <w:r w:rsidR="00BB3141">
        <w:t xml:space="preserve"> with </w:t>
      </w:r>
      <w:r w:rsidR="00994C7D">
        <w:t xml:space="preserve">15 </w:t>
      </w:r>
      <w:r w:rsidR="00BB3141">
        <w:t>rural women (</w:t>
      </w:r>
      <w:r w:rsidR="00994C7D">
        <w:t xml:space="preserve">35 per cent of </w:t>
      </w:r>
      <w:r w:rsidR="002F062E">
        <w:t xml:space="preserve">the </w:t>
      </w:r>
      <w:r w:rsidR="00994C7D">
        <w:t>46 beneficiaries</w:t>
      </w:r>
      <w:r w:rsidR="002F062E">
        <w:t xml:space="preserve"> interviewed</w:t>
      </w:r>
      <w:r w:rsidR="00994C7D">
        <w:t xml:space="preserve">) </w:t>
      </w:r>
      <w:r w:rsidR="00BB3141">
        <w:t xml:space="preserve">during the </w:t>
      </w:r>
      <w:r w:rsidR="00905A2D">
        <w:t xml:space="preserve">completion field visit and </w:t>
      </w:r>
      <w:r w:rsidR="00F173D8">
        <w:t>us</w:t>
      </w:r>
      <w:r w:rsidR="00905A2D">
        <w:t>ing</w:t>
      </w:r>
      <w:r w:rsidR="00F173D8">
        <w:t xml:space="preserve"> two</w:t>
      </w:r>
      <w:r w:rsidR="00F173D8" w:rsidRPr="00F173D8">
        <w:t xml:space="preserve"> proxy indicators</w:t>
      </w:r>
      <w:r w:rsidR="00905A2D">
        <w:t xml:space="preserve"> (availability of food items in household and a zero level of indebtedness at local shops</w:t>
      </w:r>
      <w:r w:rsidR="007D3C35">
        <w:t>)</w:t>
      </w:r>
      <w:r w:rsidR="00697DD7">
        <w:t xml:space="preserve">. Given the negligible sample, it is not possible to quantify the magnitude of </w:t>
      </w:r>
      <w:r w:rsidR="00697DD7" w:rsidRPr="004E7A41">
        <w:rPr>
          <w:lang w:val="en-GB"/>
        </w:rPr>
        <w:t xml:space="preserve">impact on this domain </w:t>
      </w:r>
      <w:r w:rsidR="004E7A41">
        <w:rPr>
          <w:lang w:val="en-GB"/>
        </w:rPr>
        <w:t>nor</w:t>
      </w:r>
      <w:r w:rsidR="00697DD7" w:rsidRPr="004E7A41">
        <w:rPr>
          <w:lang w:val="en-GB"/>
        </w:rPr>
        <w:t xml:space="preserve"> to confirm whether the claimed improvement </w:t>
      </w:r>
      <w:proofErr w:type="gramStart"/>
      <w:r w:rsidR="00697DD7" w:rsidRPr="004E7A41">
        <w:rPr>
          <w:lang w:val="en-GB"/>
        </w:rPr>
        <w:t>can be attributed</w:t>
      </w:r>
      <w:proofErr w:type="gramEnd"/>
      <w:r w:rsidR="00697DD7" w:rsidRPr="004E7A41">
        <w:rPr>
          <w:lang w:val="en-GB"/>
        </w:rPr>
        <w:t xml:space="preserve"> to </w:t>
      </w:r>
      <w:r w:rsidR="004E7A41" w:rsidRPr="004E7A41">
        <w:rPr>
          <w:lang w:val="en-GB"/>
        </w:rPr>
        <w:t>SDP</w:t>
      </w:r>
      <w:r w:rsidR="00697DD7" w:rsidRPr="004E7A41">
        <w:rPr>
          <w:lang w:val="en-GB"/>
        </w:rPr>
        <w:t>.</w:t>
      </w:r>
    </w:p>
    <w:p w:rsidR="003F226E" w:rsidRPr="003F226E" w:rsidRDefault="00F173D8" w:rsidP="00B909E9">
      <w:pPr>
        <w:pStyle w:val="ListParagraph"/>
        <w:numPr>
          <w:ilvl w:val="0"/>
          <w:numId w:val="10"/>
        </w:numPr>
        <w:spacing w:after="120"/>
        <w:ind w:left="567" w:hanging="567"/>
        <w:contextualSpacing w:val="0"/>
      </w:pPr>
      <w:r>
        <w:t>With regard to the agricultural productivity,</w:t>
      </w:r>
      <w:r w:rsidR="00DF3648" w:rsidRPr="00303577">
        <w:t xml:space="preserve"> </w:t>
      </w:r>
      <w:r w:rsidR="00575AD6" w:rsidRPr="00303577">
        <w:t xml:space="preserve">an increase in yields </w:t>
      </w:r>
      <w:proofErr w:type="gramStart"/>
      <w:r w:rsidR="00575AD6" w:rsidRPr="00303577">
        <w:t xml:space="preserve">was </w:t>
      </w:r>
      <w:r w:rsidR="00D564A2">
        <w:t>indicated</w:t>
      </w:r>
      <w:proofErr w:type="gramEnd"/>
      <w:r w:rsidR="00D564A2">
        <w:t xml:space="preserve"> in the PCR</w:t>
      </w:r>
      <w:r w:rsidR="00575AD6" w:rsidRPr="00303577">
        <w:t xml:space="preserve"> for the different crops</w:t>
      </w:r>
      <w:r w:rsidR="002E422F" w:rsidRPr="00303577">
        <w:t xml:space="preserve"> (64 per cent for sorghum, 137 per cent for groundnuts and</w:t>
      </w:r>
      <w:r w:rsidR="00303577" w:rsidRPr="00303577">
        <w:t xml:space="preserve"> 23.4 for sesame)</w:t>
      </w:r>
      <w:r w:rsidR="00DB27D9">
        <w:t>.</w:t>
      </w:r>
      <w:r w:rsidR="000A4F38" w:rsidRPr="000A4F38">
        <w:rPr>
          <w:lang w:val="en-GB"/>
        </w:rPr>
        <w:t xml:space="preserve"> A 2016 supervision report observed the existence of little reliable documentation of yield increases due to lack of M&amp;E data. It however confirmed an increase in the yield based on mission observations and discussions. </w:t>
      </w:r>
      <w:r w:rsidR="00DB27D9">
        <w:t xml:space="preserve">This was possible thanks to </w:t>
      </w:r>
      <w:r w:rsidR="0094343B">
        <w:t xml:space="preserve">the adoption of </w:t>
      </w:r>
      <w:r w:rsidR="0030629D">
        <w:t>good agriculture practice (chisel ploughing)</w:t>
      </w:r>
      <w:r w:rsidR="00BC7CB3">
        <w:t>,</w:t>
      </w:r>
      <w:r w:rsidR="004D758B">
        <w:t xml:space="preserve"> </w:t>
      </w:r>
      <w:r w:rsidR="00D564A2">
        <w:t>certified</w:t>
      </w:r>
      <w:r w:rsidR="00BC7CB3">
        <w:t>/improved</w:t>
      </w:r>
      <w:r w:rsidR="00D564A2">
        <w:t xml:space="preserve"> seeds</w:t>
      </w:r>
      <w:r w:rsidR="00620F03">
        <w:t>,</w:t>
      </w:r>
      <w:r w:rsidR="00D564A2">
        <w:t xml:space="preserve"> more resilient </w:t>
      </w:r>
      <w:r w:rsidR="004D758B">
        <w:t>varieties</w:t>
      </w:r>
      <w:r w:rsidR="00620F03">
        <w:t xml:space="preserve">, as well as better access to </w:t>
      </w:r>
      <w:r w:rsidR="00093D76">
        <w:t xml:space="preserve">other inputs/services (e.g. mechanized and </w:t>
      </w:r>
      <w:r w:rsidR="00620F03">
        <w:t>spraying services)</w:t>
      </w:r>
      <w:r w:rsidR="006906CB">
        <w:t>.</w:t>
      </w:r>
      <w:r w:rsidR="004D758B">
        <w:t xml:space="preserve"> </w:t>
      </w:r>
      <w:r w:rsidR="006E5EFC">
        <w:t>Discussions during</w:t>
      </w:r>
      <w:r w:rsidR="003F226E">
        <w:t xml:space="preserve"> the </w:t>
      </w:r>
      <w:r w:rsidR="00D564A2">
        <w:t>CSPE</w:t>
      </w:r>
      <w:r w:rsidR="003F226E">
        <w:t xml:space="preserve"> field visits </w:t>
      </w:r>
      <w:r w:rsidR="006E5EFC">
        <w:t xml:space="preserve">also </w:t>
      </w:r>
      <w:r w:rsidR="003F226E">
        <w:t>indicated an increased productivity for sorghum and sesame.</w:t>
      </w:r>
      <w:r w:rsidR="00620F03">
        <w:t xml:space="preserve"> While key quantitative data are not available </w:t>
      </w:r>
      <w:r w:rsidR="00B909E9">
        <w:t>n</w:t>
      </w:r>
      <w:r w:rsidR="00EB6A00">
        <w:t xml:space="preserve">or reliable </w:t>
      </w:r>
      <w:r w:rsidR="00620F03">
        <w:t xml:space="preserve">(e.g. number of farmers adopting certified/improved seeds, areas cultivated with certified/improved seeds, yields, informal marketing of improved seeds), it </w:t>
      </w:r>
      <w:r w:rsidR="00EB6A00">
        <w:t xml:space="preserve">is plausible that the introduction and promotion of certified/improved seeds and other services in the area has had important impact on productivity. </w:t>
      </w:r>
      <w:r w:rsidR="00620F03">
        <w:t xml:space="preserve">    </w:t>
      </w:r>
    </w:p>
    <w:p w:rsidR="00C71644" w:rsidRPr="00C71644" w:rsidRDefault="00A63CBD" w:rsidP="006E5EFC">
      <w:pPr>
        <w:pStyle w:val="ListParagraph"/>
        <w:numPr>
          <w:ilvl w:val="0"/>
          <w:numId w:val="10"/>
        </w:numPr>
        <w:spacing w:after="120"/>
        <w:ind w:left="567" w:hanging="567"/>
        <w:contextualSpacing w:val="0"/>
      </w:pPr>
      <w:r w:rsidRPr="00634704">
        <w:rPr>
          <w:b/>
          <w:bCs/>
        </w:rPr>
        <w:t>Human and social capital and empowerment.</w:t>
      </w:r>
      <w:r w:rsidRPr="00A63CBD">
        <w:t xml:space="preserve"> </w:t>
      </w:r>
      <w:r w:rsidR="00197A6E">
        <w:t xml:space="preserve">SDP </w:t>
      </w:r>
      <w:r w:rsidR="00935474">
        <w:t>strengthened the skills and capacity of</w:t>
      </w:r>
      <w:r w:rsidR="00197A6E" w:rsidRPr="00634704">
        <w:rPr>
          <w:lang w:val="en-GB"/>
        </w:rPr>
        <w:t xml:space="preserve"> </w:t>
      </w:r>
      <w:r w:rsidR="00C71644">
        <w:rPr>
          <w:lang w:val="en-GB"/>
        </w:rPr>
        <w:t>farmers</w:t>
      </w:r>
      <w:r w:rsidR="0095153E" w:rsidRPr="00634704">
        <w:rPr>
          <w:lang w:val="en-GB"/>
        </w:rPr>
        <w:t xml:space="preserve"> </w:t>
      </w:r>
      <w:r w:rsidR="00935474">
        <w:rPr>
          <w:lang w:val="en-GB"/>
        </w:rPr>
        <w:t xml:space="preserve">on agricultural production and marketing </w:t>
      </w:r>
      <w:r w:rsidR="0095153E" w:rsidRPr="00634704">
        <w:rPr>
          <w:lang w:val="en-GB"/>
        </w:rPr>
        <w:t>through raising awareness on the adoption of certified seeds, on</w:t>
      </w:r>
      <w:r w:rsidR="00935474">
        <w:rPr>
          <w:lang w:val="en-GB"/>
        </w:rPr>
        <w:t>-</w:t>
      </w:r>
      <w:r w:rsidR="0095153E" w:rsidRPr="00634704">
        <w:rPr>
          <w:lang w:val="en-GB"/>
        </w:rPr>
        <w:t>farm demonstrations, and the promotion of agricultural packages</w:t>
      </w:r>
      <w:r w:rsidR="00935474">
        <w:rPr>
          <w:lang w:val="en-GB"/>
        </w:rPr>
        <w:t>, as well as the farming as a business training</w:t>
      </w:r>
      <w:r w:rsidR="0095153E" w:rsidRPr="00634704">
        <w:rPr>
          <w:lang w:val="en-GB"/>
        </w:rPr>
        <w:t xml:space="preserve">. </w:t>
      </w:r>
      <w:r w:rsidR="00994C7D">
        <w:rPr>
          <w:lang w:val="en-US"/>
        </w:rPr>
        <w:t>While the proje</w:t>
      </w:r>
      <w:r w:rsidR="006E5EFC">
        <w:rPr>
          <w:lang w:val="en-US"/>
        </w:rPr>
        <w:t xml:space="preserve">ct established </w:t>
      </w:r>
      <w:r w:rsidR="00994C7D">
        <w:rPr>
          <w:lang w:val="en-GB"/>
        </w:rPr>
        <w:t>17</w:t>
      </w:r>
      <w:r w:rsidR="00A62504" w:rsidRPr="00C71644">
        <w:rPr>
          <w:lang w:val="en-GB"/>
        </w:rPr>
        <w:t xml:space="preserve"> </w:t>
      </w:r>
      <w:r w:rsidR="00A62504" w:rsidRPr="00C71644">
        <w:t xml:space="preserve">SGGs and 83 GPGs were </w:t>
      </w:r>
      <w:r w:rsidR="00796C36" w:rsidRPr="00C71644">
        <w:t>establish</w:t>
      </w:r>
      <w:r w:rsidR="00A62504" w:rsidRPr="00C71644">
        <w:t>ed</w:t>
      </w:r>
      <w:r w:rsidR="00796C36" w:rsidRPr="00C71644">
        <w:t xml:space="preserve"> and </w:t>
      </w:r>
      <w:r w:rsidR="00A62504" w:rsidRPr="00C71644">
        <w:t>strengthened</w:t>
      </w:r>
      <w:r w:rsidR="00994C7D">
        <w:t xml:space="preserve">, </w:t>
      </w:r>
      <w:r w:rsidR="006E5EFC">
        <w:t>there was a high drop-out rate for SGGs/seed growers, and for those remaining</w:t>
      </w:r>
      <w:r w:rsidR="00B909E9">
        <w:t>,</w:t>
      </w:r>
      <w:r w:rsidR="006E5EFC">
        <w:t xml:space="preserve"> </w:t>
      </w:r>
      <w:r w:rsidR="00994C7D">
        <w:t xml:space="preserve">the PCR </w:t>
      </w:r>
      <w:r w:rsidR="006E5EFC">
        <w:t>was</w:t>
      </w:r>
      <w:r w:rsidR="00994C7D">
        <w:t xml:space="preserve"> silent on their performance and level of autonomy</w:t>
      </w:r>
      <w:r w:rsidR="00197A6E" w:rsidRPr="00C71644">
        <w:t xml:space="preserve"> </w:t>
      </w:r>
    </w:p>
    <w:p w:rsidR="00EB1D2B" w:rsidRDefault="00A62504" w:rsidP="00BE1DC2">
      <w:pPr>
        <w:pStyle w:val="ListParagraph"/>
        <w:numPr>
          <w:ilvl w:val="0"/>
          <w:numId w:val="10"/>
        </w:numPr>
        <w:spacing w:after="120"/>
        <w:ind w:left="567" w:hanging="567"/>
        <w:contextualSpacing w:val="0"/>
      </w:pPr>
      <w:r w:rsidRPr="00C71644">
        <w:t xml:space="preserve">The project enabled youth to take up employment opportunities as entrepreneurs. </w:t>
      </w:r>
      <w:r w:rsidR="00634704" w:rsidRPr="00C71644">
        <w:t>Youth represented 45 per cent of marketing agents involved in seed marketing.</w:t>
      </w:r>
      <w:r w:rsidRPr="00C71644">
        <w:t xml:space="preserve"> </w:t>
      </w:r>
      <w:r w:rsidR="00034B01">
        <w:t xml:space="preserve">One community visited by </w:t>
      </w:r>
      <w:r w:rsidR="003F226E" w:rsidRPr="00C71644">
        <w:t xml:space="preserve">the CSPE mission </w:t>
      </w:r>
      <w:r w:rsidR="00034B01">
        <w:t>even commented</w:t>
      </w:r>
      <w:r w:rsidR="003F226E" w:rsidRPr="00C71644">
        <w:t xml:space="preserve"> that the project </w:t>
      </w:r>
      <w:r w:rsidR="00C71644" w:rsidRPr="00C71644">
        <w:t>m</w:t>
      </w:r>
      <w:r w:rsidR="00C71644" w:rsidRPr="000C5AF1">
        <w:t>ight</w:t>
      </w:r>
      <w:r w:rsidR="003F226E" w:rsidRPr="000C5AF1">
        <w:t xml:space="preserve"> have slowed down </w:t>
      </w:r>
      <w:r w:rsidR="0095153E">
        <w:t xml:space="preserve">rural </w:t>
      </w:r>
      <w:r w:rsidR="003F226E" w:rsidRPr="000C5AF1">
        <w:t>migration of young people</w:t>
      </w:r>
      <w:r w:rsidR="003F226E">
        <w:t xml:space="preserve"> who </w:t>
      </w:r>
      <w:r w:rsidR="00C71644">
        <w:t xml:space="preserve">were </w:t>
      </w:r>
      <w:r w:rsidR="003F226E">
        <w:t>encouraged by the marketing activities.</w:t>
      </w:r>
      <w:r w:rsidR="003F226E" w:rsidRPr="003F226E">
        <w:t xml:space="preserve"> </w:t>
      </w:r>
      <w:r w:rsidR="006E5EFC">
        <w:t xml:space="preserve">Such view </w:t>
      </w:r>
      <w:proofErr w:type="gramStart"/>
      <w:r w:rsidR="006E5EFC">
        <w:t>was also shared</w:t>
      </w:r>
      <w:proofErr w:type="gramEnd"/>
      <w:r w:rsidR="006E5EFC">
        <w:t xml:space="preserve"> in the PCR stakeholder workshop, the group discussion noting </w:t>
      </w:r>
      <w:r w:rsidR="00BE1DC2">
        <w:t xml:space="preserve">project’s </w:t>
      </w:r>
      <w:r w:rsidR="006E5EFC">
        <w:t xml:space="preserve">“contribution to community stabilization, especially the youth”. </w:t>
      </w:r>
    </w:p>
    <w:p w:rsidR="00A447C8" w:rsidRDefault="00A63CBD" w:rsidP="00FB7B7F">
      <w:pPr>
        <w:pStyle w:val="ListParagraph"/>
        <w:numPr>
          <w:ilvl w:val="0"/>
          <w:numId w:val="10"/>
        </w:numPr>
        <w:spacing w:after="120"/>
        <w:ind w:left="567" w:hanging="567"/>
        <w:contextualSpacing w:val="0"/>
      </w:pPr>
      <w:r w:rsidRPr="00CC19D0">
        <w:rPr>
          <w:b/>
          <w:bCs/>
        </w:rPr>
        <w:t>Institutions and policies.</w:t>
      </w:r>
      <w:r w:rsidR="0023030E">
        <w:t xml:space="preserve"> </w:t>
      </w:r>
      <w:r w:rsidR="00634704">
        <w:t xml:space="preserve">The project worked with the </w:t>
      </w:r>
      <w:r w:rsidR="00634704">
        <w:rPr>
          <w:lang w:val="en-GB"/>
        </w:rPr>
        <w:t xml:space="preserve">FSA, </w:t>
      </w:r>
      <w:r w:rsidR="00034B01">
        <w:rPr>
          <w:lang w:val="en-GB"/>
        </w:rPr>
        <w:t>the National Seed Council</w:t>
      </w:r>
      <w:r w:rsidR="00634704">
        <w:rPr>
          <w:lang w:val="en-GB"/>
        </w:rPr>
        <w:t xml:space="preserve">, </w:t>
      </w:r>
      <w:r w:rsidR="00CC19D0" w:rsidRPr="00796C36">
        <w:rPr>
          <w:lang w:val="en-GB"/>
        </w:rPr>
        <w:t>ARC</w:t>
      </w:r>
      <w:r w:rsidR="00634704">
        <w:rPr>
          <w:lang w:val="en-GB"/>
        </w:rPr>
        <w:t xml:space="preserve"> and extension teams who benefited from trainings and capacity building</w:t>
      </w:r>
      <w:r w:rsidR="002703B2">
        <w:rPr>
          <w:lang w:val="en-GB"/>
        </w:rPr>
        <w:t xml:space="preserve">. </w:t>
      </w:r>
      <w:r w:rsidR="00620F03">
        <w:rPr>
          <w:lang w:val="en-GB"/>
        </w:rPr>
        <w:t xml:space="preserve">According to the PCR, </w:t>
      </w:r>
      <w:proofErr w:type="gramStart"/>
      <w:r w:rsidR="00620F03">
        <w:rPr>
          <w:lang w:val="en-GB"/>
        </w:rPr>
        <w:t>on the basis of</w:t>
      </w:r>
      <w:proofErr w:type="gramEnd"/>
      <w:r w:rsidR="00620F03">
        <w:rPr>
          <w:lang w:val="en-GB"/>
        </w:rPr>
        <w:t xml:space="preserve"> the results and lessons learned from ARC-SDP partnership, the National Variety Release Committee decided to scale up the participatory research to all ARC stations in Sudan. </w:t>
      </w:r>
      <w:r w:rsidR="002703B2">
        <w:rPr>
          <w:lang w:val="en-GB"/>
        </w:rPr>
        <w:t>With regard to policies, t</w:t>
      </w:r>
      <w:r w:rsidR="00A447C8">
        <w:t xml:space="preserve">he </w:t>
      </w:r>
      <w:r w:rsidR="00D43ECC" w:rsidRPr="0025118A">
        <w:rPr>
          <w:lang w:val="en-GB"/>
        </w:rPr>
        <w:t xml:space="preserve">drafted Plant </w:t>
      </w:r>
      <w:r w:rsidR="003D11AF">
        <w:rPr>
          <w:lang w:val="en-GB"/>
        </w:rPr>
        <w:t>V</w:t>
      </w:r>
      <w:r w:rsidR="00D43ECC" w:rsidRPr="0025118A">
        <w:rPr>
          <w:lang w:val="en-GB"/>
        </w:rPr>
        <w:t xml:space="preserve">ariety </w:t>
      </w:r>
      <w:r w:rsidR="003D11AF">
        <w:rPr>
          <w:lang w:val="en-GB"/>
        </w:rPr>
        <w:t>P</w:t>
      </w:r>
      <w:r w:rsidR="00D43ECC" w:rsidRPr="0025118A">
        <w:rPr>
          <w:lang w:val="en-GB"/>
        </w:rPr>
        <w:t xml:space="preserve">rotection </w:t>
      </w:r>
      <w:r w:rsidR="003D11AF">
        <w:rPr>
          <w:lang w:val="en-GB"/>
        </w:rPr>
        <w:t>L</w:t>
      </w:r>
      <w:r w:rsidR="00D43ECC" w:rsidRPr="0025118A">
        <w:rPr>
          <w:lang w:val="en-GB"/>
        </w:rPr>
        <w:t>aw</w:t>
      </w:r>
      <w:r w:rsidR="00D43ECC">
        <w:rPr>
          <w:rStyle w:val="FootnoteReference"/>
          <w:lang w:val="en-GB"/>
        </w:rPr>
        <w:footnoteReference w:id="36"/>
      </w:r>
      <w:r w:rsidR="00D43ECC" w:rsidRPr="0025118A">
        <w:rPr>
          <w:lang w:val="en-GB"/>
        </w:rPr>
        <w:t xml:space="preserve"> and </w:t>
      </w:r>
      <w:r w:rsidR="00C71644">
        <w:rPr>
          <w:lang w:val="en-GB"/>
        </w:rPr>
        <w:t>the</w:t>
      </w:r>
      <w:r w:rsidR="00D43ECC" w:rsidRPr="0025118A">
        <w:rPr>
          <w:lang w:val="en-GB"/>
        </w:rPr>
        <w:t xml:space="preserve"> Seed </w:t>
      </w:r>
      <w:r w:rsidR="006E5EFC">
        <w:rPr>
          <w:lang w:val="en-GB"/>
        </w:rPr>
        <w:t>L</w:t>
      </w:r>
      <w:r w:rsidR="00D43ECC" w:rsidRPr="0025118A">
        <w:rPr>
          <w:lang w:val="en-GB"/>
        </w:rPr>
        <w:t xml:space="preserve">aw </w:t>
      </w:r>
      <w:r w:rsidR="00D43ECC">
        <w:rPr>
          <w:lang w:val="en-GB"/>
        </w:rPr>
        <w:t>were not ratified</w:t>
      </w:r>
      <w:r w:rsidR="00D84674">
        <w:rPr>
          <w:lang w:val="en-GB"/>
        </w:rPr>
        <w:t xml:space="preserve"> by the Government</w:t>
      </w:r>
      <w:r w:rsidR="00C71644">
        <w:rPr>
          <w:lang w:val="en-GB"/>
        </w:rPr>
        <w:t xml:space="preserve"> (at completion time)</w:t>
      </w:r>
      <w:r w:rsidR="00EB6A00">
        <w:rPr>
          <w:lang w:val="en-GB"/>
        </w:rPr>
        <w:t>, but the discussion during the CSPE mission indicated that this was still being pursued</w:t>
      </w:r>
      <w:r w:rsidR="003E30B8">
        <w:t>.</w:t>
      </w:r>
      <w:r w:rsidR="00EB6A00">
        <w:t xml:space="preserve"> Moreover, the project also contributed to improved capacity of various </w:t>
      </w:r>
      <w:r w:rsidR="00EE0F52">
        <w:t xml:space="preserve">private sector </w:t>
      </w:r>
      <w:r w:rsidR="00EB6A00">
        <w:t>service providers</w:t>
      </w:r>
      <w:r w:rsidR="00D203D3">
        <w:t xml:space="preserve"> (and linkage with private sector)</w:t>
      </w:r>
      <w:r w:rsidR="00EB6A00">
        <w:t xml:space="preserve"> to cater </w:t>
      </w:r>
      <w:r w:rsidR="00093D76">
        <w:t>the needs of farmers, such as mechanized</w:t>
      </w:r>
      <w:r w:rsidR="00EB6A00">
        <w:t xml:space="preserve"> service providers, spray service providers, a</w:t>
      </w:r>
      <w:r w:rsidR="00EE0F52">
        <w:t xml:space="preserve">gro-dealers and </w:t>
      </w:r>
      <w:r w:rsidR="00EB6A00">
        <w:t xml:space="preserve">business development agents.    </w:t>
      </w:r>
    </w:p>
    <w:p w:rsidR="0092553A" w:rsidRPr="00EC1C8A" w:rsidRDefault="006E5EFC" w:rsidP="000A794C">
      <w:pPr>
        <w:pStyle w:val="ListParagraph"/>
        <w:numPr>
          <w:ilvl w:val="0"/>
          <w:numId w:val="10"/>
        </w:numPr>
        <w:spacing w:after="120"/>
        <w:ind w:left="567" w:hanging="567"/>
        <w:contextualSpacing w:val="0"/>
      </w:pPr>
      <w:r w:rsidRPr="00EC1C8A">
        <w:rPr>
          <w:b/>
          <w:bCs/>
        </w:rPr>
        <w:t>Summary.</w:t>
      </w:r>
      <w:r w:rsidRPr="00EC1C8A">
        <w:t xml:space="preserve"> </w:t>
      </w:r>
      <w:r w:rsidR="004245B4" w:rsidRPr="00EC1C8A">
        <w:t>T</w:t>
      </w:r>
      <w:r w:rsidR="0007606B" w:rsidRPr="00EC1C8A">
        <w:t>he available information does not allow a full accurate assessment of this criterion</w:t>
      </w:r>
      <w:r w:rsidR="004245B4" w:rsidRPr="00EC1C8A">
        <w:t>.</w:t>
      </w:r>
      <w:r w:rsidR="0092553A" w:rsidRPr="00EC1C8A">
        <w:t xml:space="preserve"> </w:t>
      </w:r>
      <w:r w:rsidR="000A794C" w:rsidRPr="00EC1C8A">
        <w:t>T</w:t>
      </w:r>
      <w:r w:rsidR="00EB6A00" w:rsidRPr="00EC1C8A">
        <w:t xml:space="preserve">he most important impact of </w:t>
      </w:r>
      <w:r w:rsidR="00D43ECC" w:rsidRPr="00EC1C8A">
        <w:t xml:space="preserve">SDP </w:t>
      </w:r>
      <w:r w:rsidR="00EB6A00" w:rsidRPr="00EC1C8A">
        <w:t xml:space="preserve">was likely to be on </w:t>
      </w:r>
      <w:r w:rsidR="00D43ECC" w:rsidRPr="00EC1C8A">
        <w:t>increase</w:t>
      </w:r>
      <w:r w:rsidR="00EB6A00" w:rsidRPr="00EC1C8A">
        <w:t>d crop</w:t>
      </w:r>
      <w:r w:rsidR="00D43ECC" w:rsidRPr="00EC1C8A">
        <w:t xml:space="preserve"> </w:t>
      </w:r>
      <w:r w:rsidR="0092553A" w:rsidRPr="00EC1C8A">
        <w:t>producti</w:t>
      </w:r>
      <w:r w:rsidR="00D43ECC" w:rsidRPr="00EC1C8A">
        <w:t>vity</w:t>
      </w:r>
      <w:r w:rsidR="000A794C" w:rsidRPr="00EC1C8A">
        <w:t>, which might have contributed to household incomes and assets</w:t>
      </w:r>
      <w:r w:rsidR="00D43ECC" w:rsidRPr="00EC1C8A">
        <w:t>.</w:t>
      </w:r>
      <w:r w:rsidR="0092553A" w:rsidRPr="00EC1C8A">
        <w:t xml:space="preserve"> </w:t>
      </w:r>
      <w:r w:rsidR="00D43ECC" w:rsidRPr="00EC1C8A">
        <w:t>It is likely that it had a positive i</w:t>
      </w:r>
      <w:r w:rsidR="0092553A" w:rsidRPr="00EC1C8A">
        <w:t>mpact</w:t>
      </w:r>
      <w:r w:rsidR="0062033D" w:rsidRPr="00EC1C8A">
        <w:t xml:space="preserve"> on</w:t>
      </w:r>
      <w:r w:rsidR="0092553A" w:rsidRPr="00EC1C8A">
        <w:t xml:space="preserve"> </w:t>
      </w:r>
      <w:r w:rsidR="0062033D" w:rsidRPr="00EC1C8A">
        <w:t xml:space="preserve">human and social capital. </w:t>
      </w:r>
      <w:r w:rsidR="000A794C" w:rsidRPr="00EC1C8A">
        <w:t xml:space="preserve">The extent and magnitude of the changes </w:t>
      </w:r>
      <w:proofErr w:type="gramStart"/>
      <w:r w:rsidR="000A794C" w:rsidRPr="00EC1C8A">
        <w:t>cannot be reliably validated</w:t>
      </w:r>
      <w:proofErr w:type="gramEnd"/>
      <w:r w:rsidR="000A794C" w:rsidRPr="00EC1C8A">
        <w:t xml:space="preserve">. </w:t>
      </w:r>
      <w:r w:rsidR="003D146F" w:rsidRPr="00EC1C8A">
        <w:t xml:space="preserve">Impact on policies </w:t>
      </w:r>
      <w:r w:rsidR="00EE0F52" w:rsidRPr="00EC1C8A">
        <w:t xml:space="preserve">in terms of new legislations </w:t>
      </w:r>
      <w:r w:rsidR="003D146F" w:rsidRPr="00EC1C8A">
        <w:t>was less successful</w:t>
      </w:r>
      <w:r w:rsidR="00EB6A00" w:rsidRPr="00EC1C8A">
        <w:t xml:space="preserve"> </w:t>
      </w:r>
      <w:r w:rsidR="00E22AB6" w:rsidRPr="00EC1C8A">
        <w:t>at least during the project period</w:t>
      </w:r>
      <w:r w:rsidR="00EE0F52" w:rsidRPr="00EC1C8A">
        <w:t xml:space="preserve">, but the project had some </w:t>
      </w:r>
      <w:r w:rsidR="00D203D3" w:rsidRPr="00EC1C8A">
        <w:t xml:space="preserve">positive </w:t>
      </w:r>
      <w:r w:rsidR="00EE0F52" w:rsidRPr="00EC1C8A">
        <w:t>impacts on institutions</w:t>
      </w:r>
      <w:r w:rsidR="00B909E9" w:rsidRPr="00EC1C8A">
        <w:t xml:space="preserve"> and services required by the farmers</w:t>
      </w:r>
      <w:r w:rsidR="00EE0F52" w:rsidRPr="00EC1C8A">
        <w:t xml:space="preserve"> (e.g. </w:t>
      </w:r>
      <w:r w:rsidR="00D203D3" w:rsidRPr="00EC1C8A">
        <w:t xml:space="preserve">FSA, </w:t>
      </w:r>
      <w:r w:rsidR="00EE0F52" w:rsidRPr="00EC1C8A">
        <w:t>ARC</w:t>
      </w:r>
      <w:r w:rsidR="00D203D3" w:rsidRPr="00EC1C8A">
        <w:t xml:space="preserve">, </w:t>
      </w:r>
      <w:r w:rsidR="00E22AB6" w:rsidRPr="00EC1C8A">
        <w:t xml:space="preserve">private </w:t>
      </w:r>
      <w:r w:rsidR="00EE0F52" w:rsidRPr="00EC1C8A">
        <w:t>service providers)</w:t>
      </w:r>
      <w:r w:rsidR="003D146F" w:rsidRPr="00EC1C8A">
        <w:t xml:space="preserve">. </w:t>
      </w:r>
      <w:r w:rsidR="000A794C" w:rsidRPr="00EC1C8A">
        <w:t xml:space="preserve">The effective loss of half of the project implementation period would have affected the project’s ability to generate sustainable impact. </w:t>
      </w:r>
      <w:r w:rsidR="0092553A" w:rsidRPr="00EC1C8A">
        <w:rPr>
          <w:lang w:val="en-GB"/>
        </w:rPr>
        <w:t xml:space="preserve">The PCRV rates rural poverty impact as </w:t>
      </w:r>
      <w:r w:rsidR="0092553A" w:rsidRPr="00EC1C8A">
        <w:rPr>
          <w:i/>
          <w:iCs/>
          <w:lang w:val="en-GB"/>
        </w:rPr>
        <w:t>moderately satisfactory (</w:t>
      </w:r>
      <w:r w:rsidR="00E22AB6" w:rsidRPr="00EC1C8A">
        <w:rPr>
          <w:i/>
          <w:iCs/>
          <w:lang w:val="en-GB"/>
        </w:rPr>
        <w:t>4</w:t>
      </w:r>
      <w:r w:rsidR="0092553A" w:rsidRPr="00EC1C8A">
        <w:rPr>
          <w:i/>
          <w:iCs/>
          <w:lang w:val="en-GB"/>
        </w:rPr>
        <w:t>),</w:t>
      </w:r>
      <w:r w:rsidR="0092553A" w:rsidRPr="00EC1C8A">
        <w:rPr>
          <w:lang w:val="en-GB"/>
        </w:rPr>
        <w:t xml:space="preserve"> </w:t>
      </w:r>
      <w:r w:rsidR="00C10E06" w:rsidRPr="00EC1C8A">
        <w:rPr>
          <w:lang w:val="en-GB"/>
        </w:rPr>
        <w:t>one point below</w:t>
      </w:r>
      <w:r w:rsidR="003D146F" w:rsidRPr="00EC1C8A">
        <w:rPr>
          <w:lang w:val="en-GB"/>
        </w:rPr>
        <w:t xml:space="preserve"> </w:t>
      </w:r>
      <w:r w:rsidR="0092553A" w:rsidRPr="00EC1C8A">
        <w:rPr>
          <w:lang w:val="en-GB"/>
        </w:rPr>
        <w:t xml:space="preserve">the PCR rating. </w:t>
      </w:r>
    </w:p>
    <w:p w:rsidR="0024669D" w:rsidRPr="00AD4829" w:rsidRDefault="0024669D" w:rsidP="00BD5F4F">
      <w:pPr>
        <w:pStyle w:val="ListParagraph"/>
        <w:spacing w:after="40"/>
        <w:ind w:left="567"/>
        <w:contextualSpacing w:val="0"/>
        <w:jc w:val="both"/>
      </w:pPr>
      <w:r w:rsidRPr="0023030E">
        <w:rPr>
          <w:b/>
          <w:bCs/>
          <w:sz w:val="22"/>
          <w:szCs w:val="22"/>
        </w:rPr>
        <w:t>Sustainability of benefits</w:t>
      </w:r>
    </w:p>
    <w:p w:rsidR="00C86251" w:rsidRDefault="00231A78" w:rsidP="00CA324E">
      <w:pPr>
        <w:pStyle w:val="ListParagraph"/>
        <w:numPr>
          <w:ilvl w:val="0"/>
          <w:numId w:val="10"/>
        </w:numPr>
        <w:spacing w:after="120"/>
        <w:ind w:left="567" w:hanging="567"/>
        <w:contextualSpacing w:val="0"/>
      </w:pPr>
      <w:r>
        <w:t>The 2017 s</w:t>
      </w:r>
      <w:r w:rsidRPr="00382C44">
        <w:t>upervision report</w:t>
      </w:r>
      <w:r w:rsidR="00E0466E">
        <w:t xml:space="preserve"> and the PCR</w:t>
      </w:r>
      <w:r>
        <w:t xml:space="preserve"> </w:t>
      </w:r>
      <w:r w:rsidRPr="00382C44">
        <w:t xml:space="preserve">observed that </w:t>
      </w:r>
      <w:r>
        <w:t xml:space="preserve">the ongoing </w:t>
      </w:r>
      <w:r w:rsidRPr="00382C44">
        <w:t>IFAD</w:t>
      </w:r>
      <w:r>
        <w:t>-financed</w:t>
      </w:r>
      <w:r w:rsidRPr="00382C44">
        <w:t xml:space="preserve"> project “Integrated </w:t>
      </w:r>
      <w:r>
        <w:t>A</w:t>
      </w:r>
      <w:r w:rsidRPr="00382C44">
        <w:t xml:space="preserve">griculture and </w:t>
      </w:r>
      <w:r>
        <w:t>M</w:t>
      </w:r>
      <w:r w:rsidRPr="00382C44">
        <w:t>arketi</w:t>
      </w:r>
      <w:r>
        <w:t xml:space="preserve">ng Development Project (IAMDP)” </w:t>
      </w:r>
      <w:r w:rsidR="00E0466E">
        <w:t>would continue the promotion of SDP</w:t>
      </w:r>
      <w:r w:rsidR="001E187A">
        <w:t xml:space="preserve"> activities and</w:t>
      </w:r>
      <w:r w:rsidR="00E0466E">
        <w:t xml:space="preserve"> initiated private sector-smallholder business partnership in the project area.</w:t>
      </w:r>
      <w:r>
        <w:rPr>
          <w:rStyle w:val="FootnoteReference"/>
        </w:rPr>
        <w:footnoteReference w:id="37"/>
      </w:r>
      <w:r>
        <w:t xml:space="preserve"> Most, if not all, members of the </w:t>
      </w:r>
      <w:r w:rsidR="00E0466E">
        <w:t>SDP PCU</w:t>
      </w:r>
      <w:r>
        <w:t xml:space="preserve"> and multi-disciplinary teams </w:t>
      </w:r>
      <w:proofErr w:type="gramStart"/>
      <w:r>
        <w:t>have been retained</w:t>
      </w:r>
      <w:proofErr w:type="gramEnd"/>
      <w:r>
        <w:t xml:space="preserve"> to work with IAMDP.</w:t>
      </w:r>
    </w:p>
    <w:p w:rsidR="00C86251" w:rsidRDefault="00E0466E" w:rsidP="00326788">
      <w:pPr>
        <w:pStyle w:val="ListParagraph"/>
        <w:numPr>
          <w:ilvl w:val="0"/>
          <w:numId w:val="10"/>
        </w:numPr>
        <w:spacing w:after="120"/>
        <w:ind w:left="567" w:hanging="567"/>
        <w:contextualSpacing w:val="0"/>
      </w:pPr>
      <w:r>
        <w:t xml:space="preserve">Otherwise, </w:t>
      </w:r>
      <w:r w:rsidR="0025131C">
        <w:t>SDP benefited from the engagement of the targeted communities</w:t>
      </w:r>
      <w:r w:rsidR="00326788">
        <w:t xml:space="preserve">, </w:t>
      </w:r>
      <w:r w:rsidR="00286791">
        <w:t>who</w:t>
      </w:r>
      <w:r w:rsidR="00326788">
        <w:t>,</w:t>
      </w:r>
      <w:r w:rsidR="00286791">
        <w:t xml:space="preserve"> according to the PCR</w:t>
      </w:r>
      <w:r w:rsidR="00326788">
        <w:t>,</w:t>
      </w:r>
      <w:r w:rsidR="00286791">
        <w:t xml:space="preserve"> appreciated the </w:t>
      </w:r>
      <w:r w:rsidR="00825BE1">
        <w:t xml:space="preserve">innovative </w:t>
      </w:r>
      <w:r w:rsidR="00DF4DEE">
        <w:t>private-public partnership</w:t>
      </w:r>
      <w:r w:rsidR="00286791">
        <w:t xml:space="preserve"> model promoted by the project</w:t>
      </w:r>
      <w:r w:rsidR="00825BE1">
        <w:t xml:space="preserve"> and </w:t>
      </w:r>
      <w:r w:rsidR="001D4C27">
        <w:t xml:space="preserve">together with the PSCs and </w:t>
      </w:r>
      <w:proofErr w:type="gramStart"/>
      <w:r w:rsidR="001D4C27">
        <w:t>service</w:t>
      </w:r>
      <w:proofErr w:type="gramEnd"/>
      <w:r w:rsidR="001D4C27">
        <w:t xml:space="preserve"> providers express</w:t>
      </w:r>
      <w:r w:rsidR="00A5096B">
        <w:t>ed</w:t>
      </w:r>
      <w:r w:rsidR="001D4C27">
        <w:t xml:space="preserve"> their willingness to continue</w:t>
      </w:r>
      <w:r w:rsidR="00C86251">
        <w:t xml:space="preserve"> the business model</w:t>
      </w:r>
      <w:r w:rsidR="001D4C27">
        <w:t xml:space="preserve"> with</w:t>
      </w:r>
      <w:r w:rsidR="00825BE1">
        <w:t>out</w:t>
      </w:r>
      <w:r w:rsidR="001D4C27">
        <w:t xml:space="preserve"> the project support</w:t>
      </w:r>
      <w:r w:rsidR="00286791">
        <w:t>.</w:t>
      </w:r>
      <w:r w:rsidR="00487109" w:rsidRPr="00487109">
        <w:rPr>
          <w:rFonts w:asciiTheme="minorBidi" w:hAnsiTheme="minorBidi" w:cstheme="minorBidi"/>
          <w:lang w:val="en-GB" w:eastAsia="en-GB"/>
        </w:rPr>
        <w:t xml:space="preserve"> </w:t>
      </w:r>
      <w:r w:rsidR="00487109" w:rsidRPr="00BF523E">
        <w:t xml:space="preserve">The 2017 supervision report highlighted </w:t>
      </w:r>
      <w:r w:rsidR="00BF523E" w:rsidRPr="00BF523E">
        <w:t xml:space="preserve">the satisfaction of </w:t>
      </w:r>
      <w:r w:rsidR="00A5096B" w:rsidRPr="00BF523E">
        <w:t>agro dealers</w:t>
      </w:r>
      <w:r w:rsidR="00487109" w:rsidRPr="00BF523E">
        <w:t xml:space="preserve"> from the partnerships that the project brokered with large-scale companies in Khartoum, and </w:t>
      </w:r>
      <w:r w:rsidR="00BF523E" w:rsidRPr="00BF523E">
        <w:t xml:space="preserve">their </w:t>
      </w:r>
      <w:r w:rsidR="00487109" w:rsidRPr="00BF523E">
        <w:t xml:space="preserve">plans for expanding their businesses. </w:t>
      </w:r>
      <w:r w:rsidR="001D4C27">
        <w:t>Discussions with the</w:t>
      </w:r>
      <w:r w:rsidR="0025131C">
        <w:t xml:space="preserve"> </w:t>
      </w:r>
      <w:r w:rsidR="001D4C27">
        <w:t xml:space="preserve">private sector partners during </w:t>
      </w:r>
      <w:r w:rsidR="0025131C">
        <w:t>the CSPE mission</w:t>
      </w:r>
      <w:r w:rsidR="001D4C27">
        <w:t xml:space="preserve"> reinforced these findings; interlocutors </w:t>
      </w:r>
      <w:r w:rsidR="00177FA7">
        <w:t>conveyed their appreciation with the partnership model promoted by the project.</w:t>
      </w:r>
      <w:r w:rsidR="00825BE1" w:rsidRPr="00825BE1">
        <w:t xml:space="preserve"> </w:t>
      </w:r>
      <w:r w:rsidR="00C86251">
        <w:t>T</w:t>
      </w:r>
      <w:r w:rsidR="00BF523E">
        <w:t>hese emerging finding</w:t>
      </w:r>
      <w:r w:rsidR="00C86251">
        <w:t>s</w:t>
      </w:r>
      <w:r w:rsidR="00BF523E">
        <w:t xml:space="preserve"> indicate a potential of sustainability of the SDP benefits</w:t>
      </w:r>
      <w:r w:rsidR="00C86251">
        <w:t xml:space="preserve"> and precisely the </w:t>
      </w:r>
      <w:r w:rsidR="00537A87">
        <w:t xml:space="preserve">public-private partnership </w:t>
      </w:r>
      <w:r w:rsidR="00C86251">
        <w:t>model</w:t>
      </w:r>
      <w:r w:rsidR="00BF523E">
        <w:t xml:space="preserve">. </w:t>
      </w:r>
    </w:p>
    <w:p w:rsidR="00C41DEA" w:rsidRDefault="006C51F2" w:rsidP="002A60F4">
      <w:pPr>
        <w:pStyle w:val="ListParagraph"/>
        <w:numPr>
          <w:ilvl w:val="0"/>
          <w:numId w:val="10"/>
        </w:numPr>
        <w:spacing w:after="120"/>
        <w:ind w:left="567" w:hanging="567"/>
        <w:contextualSpacing w:val="0"/>
      </w:pPr>
      <w:r w:rsidRPr="006C51F2">
        <w:rPr>
          <w:lang w:val="en-GB"/>
        </w:rPr>
        <w:t xml:space="preserve">The </w:t>
      </w:r>
      <w:r>
        <w:rPr>
          <w:lang w:val="en-GB"/>
        </w:rPr>
        <w:t>p</w:t>
      </w:r>
      <w:r w:rsidRPr="006C51F2">
        <w:rPr>
          <w:lang w:val="en-GB"/>
        </w:rPr>
        <w:t>roject strengthene</w:t>
      </w:r>
      <w:r>
        <w:rPr>
          <w:lang w:val="en-GB"/>
        </w:rPr>
        <w:t>d</w:t>
      </w:r>
      <w:r w:rsidRPr="006C51F2">
        <w:rPr>
          <w:lang w:val="en-GB"/>
        </w:rPr>
        <w:t xml:space="preserve"> institutional </w:t>
      </w:r>
      <w:r w:rsidR="00C86251">
        <w:rPr>
          <w:lang w:val="en-GB"/>
        </w:rPr>
        <w:t xml:space="preserve">structures at the national and state </w:t>
      </w:r>
      <w:r w:rsidR="00CA324E">
        <w:rPr>
          <w:lang w:val="en-GB"/>
        </w:rPr>
        <w:t xml:space="preserve">levels </w:t>
      </w:r>
      <w:r w:rsidR="00C86251">
        <w:rPr>
          <w:lang w:val="en-GB"/>
        </w:rPr>
        <w:t>through capacity buildings and trainings</w:t>
      </w:r>
      <w:r w:rsidRPr="006C51F2">
        <w:rPr>
          <w:lang w:val="en-GB"/>
        </w:rPr>
        <w:t>.</w:t>
      </w:r>
      <w:r>
        <w:rPr>
          <w:lang w:val="en-GB"/>
        </w:rPr>
        <w:t xml:space="preserve"> </w:t>
      </w:r>
      <w:r w:rsidR="002A60F4">
        <w:t xml:space="preserve">However, </w:t>
      </w:r>
      <w:r w:rsidR="00C41DEA">
        <w:t>t</w:t>
      </w:r>
      <w:r w:rsidR="00C41DEA" w:rsidRPr="00E0015D">
        <w:t xml:space="preserve">he sustainability of </w:t>
      </w:r>
      <w:r w:rsidR="006370F9">
        <w:t xml:space="preserve">the participatory research and the </w:t>
      </w:r>
      <w:r w:rsidR="00C41DEA" w:rsidRPr="00E0015D">
        <w:t>extension team support to SGGs and GPGs</w:t>
      </w:r>
      <w:r w:rsidR="00C41DEA" w:rsidRPr="00E0015D">
        <w:rPr>
          <w:b/>
        </w:rPr>
        <w:t xml:space="preserve"> </w:t>
      </w:r>
      <w:proofErr w:type="gramStart"/>
      <w:r w:rsidR="006370F9">
        <w:t>were</w:t>
      </w:r>
      <w:r w:rsidR="006370F9" w:rsidRPr="00E0015D">
        <w:t xml:space="preserve"> </w:t>
      </w:r>
      <w:r w:rsidR="00C41DEA" w:rsidRPr="00E0015D">
        <w:t>question</w:t>
      </w:r>
      <w:r w:rsidR="00C41DEA">
        <w:t>ed</w:t>
      </w:r>
      <w:proofErr w:type="gramEnd"/>
      <w:r w:rsidR="00C41DEA">
        <w:t xml:space="preserve"> in the supervision reports</w:t>
      </w:r>
      <w:r w:rsidR="006370F9">
        <w:t xml:space="preserve"> and the stakeholder workshop</w:t>
      </w:r>
      <w:r w:rsidR="00C41DEA">
        <w:t xml:space="preserve"> due to the</w:t>
      </w:r>
      <w:r>
        <w:t xml:space="preserve"> limited government resources.</w:t>
      </w:r>
      <w:r>
        <w:rPr>
          <w:rStyle w:val="FootnoteReference"/>
        </w:rPr>
        <w:footnoteReference w:id="38"/>
      </w:r>
      <w:r>
        <w:t xml:space="preserve"> The PCR did not elaborate on this issue. This was a problem encountered also by other IFAD</w:t>
      </w:r>
      <w:r w:rsidR="004E30E6">
        <w:t>-financed</w:t>
      </w:r>
      <w:r>
        <w:t xml:space="preserve"> project</w:t>
      </w:r>
      <w:r w:rsidR="004E30E6">
        <w:t>s</w:t>
      </w:r>
      <w:r>
        <w:t xml:space="preserve"> in Sudan.</w:t>
      </w:r>
    </w:p>
    <w:p w:rsidR="00BF523E" w:rsidRPr="00825BE1" w:rsidRDefault="000A21E3" w:rsidP="00A56C53">
      <w:pPr>
        <w:pStyle w:val="ListParagraph"/>
        <w:numPr>
          <w:ilvl w:val="0"/>
          <w:numId w:val="10"/>
        </w:numPr>
        <w:spacing w:after="120"/>
        <w:ind w:left="567" w:hanging="567"/>
        <w:contextualSpacing w:val="0"/>
      </w:pPr>
      <w:r>
        <w:t>In conclusion, the business model introduced by SDP has a potential of sustainability</w:t>
      </w:r>
      <w:r w:rsidR="001E187A">
        <w:t xml:space="preserve"> given its appreciation by the various stakeholders</w:t>
      </w:r>
      <w:r w:rsidR="004E33C5">
        <w:t xml:space="preserve">, but </w:t>
      </w:r>
      <w:proofErr w:type="gramStart"/>
      <w:r w:rsidR="004E33C5">
        <w:t>there are some other elements for which the sustainability prospect was not clear at completion</w:t>
      </w:r>
      <w:r w:rsidR="001E187A">
        <w:t xml:space="preserve"> and would depend on the implementation of IAMDP</w:t>
      </w:r>
      <w:proofErr w:type="gramEnd"/>
      <w:r>
        <w:t xml:space="preserve">. </w:t>
      </w:r>
      <w:r w:rsidR="00BF523E">
        <w:t xml:space="preserve">The PCRV rates sustainability </w:t>
      </w:r>
      <w:r w:rsidR="00E0466E">
        <w:rPr>
          <w:i/>
          <w:iCs/>
        </w:rPr>
        <w:t>moderately s</w:t>
      </w:r>
      <w:r w:rsidR="00BF523E" w:rsidRPr="00BF523E">
        <w:rPr>
          <w:i/>
          <w:iCs/>
        </w:rPr>
        <w:t>atisfactory (</w:t>
      </w:r>
      <w:r w:rsidR="00E0466E">
        <w:rPr>
          <w:i/>
          <w:iCs/>
        </w:rPr>
        <w:t>4</w:t>
      </w:r>
      <w:r w:rsidR="00BF523E" w:rsidRPr="00BF523E">
        <w:rPr>
          <w:i/>
          <w:iCs/>
        </w:rPr>
        <w:t>),</w:t>
      </w:r>
      <w:r w:rsidR="00BF523E">
        <w:t xml:space="preserve"> </w:t>
      </w:r>
      <w:r w:rsidR="00E0466E">
        <w:t>one rating below</w:t>
      </w:r>
      <w:r w:rsidR="00BE1DC2">
        <w:t xml:space="preserve"> the </w:t>
      </w:r>
      <w:r>
        <w:t>P</w:t>
      </w:r>
      <w:r w:rsidR="00BE1DC2">
        <w:t>CR</w:t>
      </w:r>
      <w:r w:rsidR="00BF523E">
        <w:t xml:space="preserve"> rating</w:t>
      </w:r>
      <w:r w:rsidR="0008689D">
        <w:t>.</w:t>
      </w:r>
    </w:p>
    <w:p w:rsidR="002639D7" w:rsidRDefault="002639D7" w:rsidP="00BD5F4F">
      <w:pPr>
        <w:pStyle w:val="Heading2"/>
        <w:jc w:val="both"/>
      </w:pPr>
      <w:r>
        <w:t>Other performance criteria</w:t>
      </w:r>
      <w:bookmarkEnd w:id="6"/>
      <w:bookmarkEnd w:id="7"/>
      <w:bookmarkEnd w:id="8"/>
    </w:p>
    <w:p w:rsidR="004139C4" w:rsidRPr="00867BCD" w:rsidRDefault="004139C4" w:rsidP="00BD5F4F">
      <w:pPr>
        <w:pStyle w:val="ListParagraph"/>
        <w:spacing w:after="40"/>
        <w:ind w:left="567"/>
        <w:contextualSpacing w:val="0"/>
        <w:jc w:val="both"/>
        <w:rPr>
          <w:b/>
          <w:bCs/>
          <w:sz w:val="22"/>
          <w:szCs w:val="22"/>
        </w:rPr>
      </w:pPr>
      <w:r>
        <w:rPr>
          <w:b/>
          <w:bCs/>
          <w:sz w:val="22"/>
          <w:szCs w:val="22"/>
        </w:rPr>
        <w:t>Innovation and scaling up</w:t>
      </w:r>
    </w:p>
    <w:p w:rsidR="00161FB1" w:rsidRDefault="002C19B8" w:rsidP="00064B5A">
      <w:pPr>
        <w:pStyle w:val="ListParagraph"/>
        <w:numPr>
          <w:ilvl w:val="0"/>
          <w:numId w:val="10"/>
        </w:numPr>
        <w:spacing w:after="120"/>
        <w:ind w:left="567" w:hanging="567"/>
        <w:contextualSpacing w:val="0"/>
        <w:rPr>
          <w:lang w:val="en-GB"/>
        </w:rPr>
      </w:pPr>
      <w:r w:rsidRPr="00161FB1">
        <w:rPr>
          <w:b/>
          <w:bCs/>
        </w:rPr>
        <w:t>Innovation.</w:t>
      </w:r>
      <w:r w:rsidR="00161FB1" w:rsidRPr="00161FB1">
        <w:rPr>
          <w:lang w:val="en-GB"/>
        </w:rPr>
        <w:t xml:space="preserve"> </w:t>
      </w:r>
      <w:r w:rsidR="0007793C">
        <w:rPr>
          <w:lang w:val="en-GB"/>
        </w:rPr>
        <w:t>According to the PCR, t</w:t>
      </w:r>
      <w:r w:rsidR="00161FB1">
        <w:rPr>
          <w:lang w:val="en-GB"/>
        </w:rPr>
        <w:t xml:space="preserve">he introduction of a business approach based on partnerships between </w:t>
      </w:r>
      <w:r w:rsidR="00D31C5C">
        <w:rPr>
          <w:lang w:val="en-GB"/>
        </w:rPr>
        <w:t xml:space="preserve">the private sector, the farmers and the public sector </w:t>
      </w:r>
      <w:r w:rsidR="00477F43">
        <w:rPr>
          <w:lang w:val="en-GB"/>
        </w:rPr>
        <w:t xml:space="preserve">was an innovation in the context. </w:t>
      </w:r>
      <w:r w:rsidR="0007793C">
        <w:rPr>
          <w:lang w:val="en-GB"/>
        </w:rPr>
        <w:t xml:space="preserve">Other innovations </w:t>
      </w:r>
      <w:proofErr w:type="gramStart"/>
      <w:r w:rsidR="0007793C">
        <w:rPr>
          <w:lang w:val="en-GB"/>
        </w:rPr>
        <w:t>can be highlighted</w:t>
      </w:r>
      <w:proofErr w:type="gramEnd"/>
      <w:r w:rsidR="0007793C">
        <w:rPr>
          <w:lang w:val="en-GB"/>
        </w:rPr>
        <w:t xml:space="preserve"> by the PCRV: (</w:t>
      </w:r>
      <w:proofErr w:type="spellStart"/>
      <w:r w:rsidR="0007793C">
        <w:rPr>
          <w:lang w:val="en-GB"/>
        </w:rPr>
        <w:t>i</w:t>
      </w:r>
      <w:proofErr w:type="spellEnd"/>
      <w:r w:rsidR="0007793C">
        <w:rPr>
          <w:lang w:val="en-GB"/>
        </w:rPr>
        <w:t>)</w:t>
      </w:r>
      <w:r w:rsidR="00064B5A">
        <w:rPr>
          <w:lang w:val="en-GB"/>
        </w:rPr>
        <w:t> </w:t>
      </w:r>
      <w:r w:rsidR="004E30E6">
        <w:rPr>
          <w:lang w:val="en-GB"/>
        </w:rPr>
        <w:t>s</w:t>
      </w:r>
      <w:r w:rsidR="00853116">
        <w:rPr>
          <w:lang w:val="en-GB"/>
        </w:rPr>
        <w:t xml:space="preserve">etting up a network </w:t>
      </w:r>
      <w:r w:rsidR="004E30E6">
        <w:rPr>
          <w:lang w:val="en-GB"/>
        </w:rPr>
        <w:t>of</w:t>
      </w:r>
      <w:r w:rsidR="00853116">
        <w:rPr>
          <w:lang w:val="en-GB"/>
        </w:rPr>
        <w:t xml:space="preserve"> business development agents </w:t>
      </w:r>
      <w:r w:rsidR="004E30E6">
        <w:rPr>
          <w:lang w:val="en-GB"/>
        </w:rPr>
        <w:t xml:space="preserve">who </w:t>
      </w:r>
      <w:r w:rsidR="00853116">
        <w:rPr>
          <w:lang w:val="en-GB"/>
        </w:rPr>
        <w:t>would link farmers with</w:t>
      </w:r>
      <w:r w:rsidR="00ED0C00">
        <w:rPr>
          <w:lang w:val="en-GB"/>
        </w:rPr>
        <w:t xml:space="preserve"> </w:t>
      </w:r>
      <w:r w:rsidR="00FB7B7F">
        <w:rPr>
          <w:lang w:val="en-GB"/>
        </w:rPr>
        <w:t>PSCs</w:t>
      </w:r>
      <w:r w:rsidR="00853116">
        <w:rPr>
          <w:lang w:val="en-GB"/>
        </w:rPr>
        <w:t>, financial institutions and mechanized service providers</w:t>
      </w:r>
      <w:r w:rsidR="0007793C">
        <w:rPr>
          <w:lang w:val="en-GB"/>
        </w:rPr>
        <w:t xml:space="preserve">; </w:t>
      </w:r>
      <w:r w:rsidR="004E30E6">
        <w:rPr>
          <w:lang w:val="en-GB"/>
        </w:rPr>
        <w:t xml:space="preserve">and </w:t>
      </w:r>
      <w:r w:rsidR="0007793C">
        <w:rPr>
          <w:lang w:val="en-GB"/>
        </w:rPr>
        <w:t>(ii)</w:t>
      </w:r>
      <w:r w:rsidR="00064B5A">
        <w:rPr>
          <w:lang w:val="en-GB"/>
        </w:rPr>
        <w:t> </w:t>
      </w:r>
      <w:r w:rsidR="004E30E6">
        <w:rPr>
          <w:lang w:val="en-GB"/>
        </w:rPr>
        <w:t>i</w:t>
      </w:r>
      <w:r w:rsidR="0007793C">
        <w:rPr>
          <w:lang w:val="en-GB"/>
        </w:rPr>
        <w:t>ntroduction of the participatory research approach involving farmers and the staff of ARC</w:t>
      </w:r>
      <w:r w:rsidR="00437515">
        <w:rPr>
          <w:lang w:val="en-GB"/>
        </w:rPr>
        <w:t>.</w:t>
      </w:r>
    </w:p>
    <w:p w:rsidR="00437515" w:rsidRDefault="00437515" w:rsidP="00844241">
      <w:pPr>
        <w:pStyle w:val="ListParagraph"/>
        <w:numPr>
          <w:ilvl w:val="0"/>
          <w:numId w:val="10"/>
        </w:numPr>
        <w:spacing w:after="120"/>
        <w:ind w:left="567" w:hanging="567"/>
        <w:contextualSpacing w:val="0"/>
        <w:rPr>
          <w:lang w:val="en-GB"/>
        </w:rPr>
      </w:pPr>
      <w:r>
        <w:rPr>
          <w:lang w:val="en-GB"/>
        </w:rPr>
        <w:t xml:space="preserve">The PCRV rating for innovation is </w:t>
      </w:r>
      <w:r w:rsidRPr="00437515">
        <w:rPr>
          <w:i/>
          <w:iCs/>
          <w:lang w:val="en-GB"/>
        </w:rPr>
        <w:t>satisfactory (5)</w:t>
      </w:r>
      <w:r>
        <w:rPr>
          <w:lang w:val="en-GB"/>
        </w:rPr>
        <w:t>, one rating above the PCR rating.</w:t>
      </w:r>
    </w:p>
    <w:p w:rsidR="00F74D35" w:rsidRDefault="002C19B8" w:rsidP="00844241">
      <w:pPr>
        <w:pStyle w:val="ListParagraph"/>
        <w:numPr>
          <w:ilvl w:val="0"/>
          <w:numId w:val="10"/>
        </w:numPr>
        <w:spacing w:after="120"/>
        <w:ind w:left="567" w:hanging="567"/>
        <w:contextualSpacing w:val="0"/>
        <w:rPr>
          <w:lang w:val="en-GB"/>
        </w:rPr>
      </w:pPr>
      <w:r>
        <w:rPr>
          <w:b/>
          <w:bCs/>
        </w:rPr>
        <w:t>Scaling up.</w:t>
      </w:r>
      <w:r>
        <w:t xml:space="preserve"> </w:t>
      </w:r>
      <w:r w:rsidR="00480DE5">
        <w:rPr>
          <w:lang w:val="en-GB"/>
        </w:rPr>
        <w:t>T</w:t>
      </w:r>
      <w:r w:rsidR="008F17D9" w:rsidRPr="008F17D9">
        <w:rPr>
          <w:lang w:val="en-GB"/>
        </w:rPr>
        <w:t xml:space="preserve">he National Variety Release Committee decided to scale up the participatory research to all ARC stations in Sudan. Such approach </w:t>
      </w:r>
      <w:proofErr w:type="gramStart"/>
      <w:r w:rsidR="008F17D9" w:rsidRPr="008F17D9">
        <w:rPr>
          <w:lang w:val="en-GB"/>
        </w:rPr>
        <w:t>was introduced</w:t>
      </w:r>
      <w:proofErr w:type="gramEnd"/>
      <w:r w:rsidR="008F17D9" w:rsidRPr="008F17D9">
        <w:rPr>
          <w:lang w:val="en-GB"/>
        </w:rPr>
        <w:t xml:space="preserve"> by SDP for the first time in Sudan.</w:t>
      </w:r>
      <w:r w:rsidR="00161FB1">
        <w:rPr>
          <w:lang w:val="en-GB"/>
        </w:rPr>
        <w:t xml:space="preserve"> </w:t>
      </w:r>
      <w:r w:rsidR="002840CB">
        <w:rPr>
          <w:lang w:val="en-GB"/>
        </w:rPr>
        <w:t>According</w:t>
      </w:r>
      <w:r w:rsidR="0008689D">
        <w:rPr>
          <w:lang w:val="en-GB"/>
        </w:rPr>
        <w:t xml:space="preserve"> to</w:t>
      </w:r>
      <w:r w:rsidR="002840CB">
        <w:rPr>
          <w:lang w:val="en-GB"/>
        </w:rPr>
        <w:t xml:space="preserve"> the last supervision report, s</w:t>
      </w:r>
      <w:r w:rsidR="002840CB" w:rsidRPr="002840CB">
        <w:rPr>
          <w:lang w:val="en-GB"/>
        </w:rPr>
        <w:t>ome of the ABSUMI units have started replicating the seasonal loans</w:t>
      </w:r>
      <w:r w:rsidR="002840CB">
        <w:rPr>
          <w:lang w:val="en-GB"/>
        </w:rPr>
        <w:t xml:space="preserve"> for improved technology packages</w:t>
      </w:r>
      <w:r w:rsidR="002840CB" w:rsidRPr="002840CB">
        <w:rPr>
          <w:lang w:val="en-GB"/>
        </w:rPr>
        <w:t xml:space="preserve"> without</w:t>
      </w:r>
      <w:r w:rsidR="00480DE5">
        <w:rPr>
          <w:lang w:val="en-GB"/>
        </w:rPr>
        <w:t xml:space="preserve"> the</w:t>
      </w:r>
      <w:r w:rsidR="002840CB" w:rsidRPr="002840CB">
        <w:rPr>
          <w:lang w:val="en-GB"/>
        </w:rPr>
        <w:t xml:space="preserve"> project support</w:t>
      </w:r>
      <w:r w:rsidR="002840CB">
        <w:rPr>
          <w:lang w:val="en-GB"/>
        </w:rPr>
        <w:t>.</w:t>
      </w:r>
      <w:r w:rsidR="00D31C5C">
        <w:rPr>
          <w:lang w:val="en-GB"/>
        </w:rPr>
        <w:t xml:space="preserve"> </w:t>
      </w:r>
      <w:r w:rsidR="00F74D35">
        <w:rPr>
          <w:lang w:val="en-GB"/>
        </w:rPr>
        <w:t>Discussion during the CSPE mission with private companies involved in SDP revealed that some of them scaled up the experience of partnership with farmers to another village.</w:t>
      </w:r>
    </w:p>
    <w:p w:rsidR="002C19B8" w:rsidRPr="00D31C5C" w:rsidRDefault="00D31C5C" w:rsidP="00064B5A">
      <w:pPr>
        <w:pStyle w:val="ListParagraph"/>
        <w:numPr>
          <w:ilvl w:val="0"/>
          <w:numId w:val="10"/>
        </w:numPr>
        <w:spacing w:after="120"/>
        <w:ind w:left="567" w:hanging="567"/>
        <w:contextualSpacing w:val="0"/>
        <w:rPr>
          <w:lang w:val="en-GB"/>
        </w:rPr>
      </w:pPr>
      <w:r>
        <w:t>In addition, a</w:t>
      </w:r>
      <w:r w:rsidRPr="00603D7C">
        <w:t xml:space="preserve">lthough it does not </w:t>
      </w:r>
      <w:r w:rsidR="00367A52">
        <w:t xml:space="preserve">fully </w:t>
      </w:r>
      <w:r w:rsidRPr="00603D7C">
        <w:t>comply with IFAD definition,</w:t>
      </w:r>
      <w:r w:rsidRPr="00583DBA">
        <w:rPr>
          <w:vertAlign w:val="superscript"/>
          <w:lang w:val="en-US"/>
        </w:rPr>
        <w:footnoteReference w:id="39"/>
      </w:r>
      <w:r w:rsidR="00326788">
        <w:rPr>
          <w:vertAlign w:val="superscript"/>
          <w:lang w:val="en-US"/>
        </w:rPr>
        <w:t xml:space="preserve"> </w:t>
      </w:r>
      <w:r w:rsidRPr="00603D7C">
        <w:t>scaling up is ongoing by another</w:t>
      </w:r>
      <w:r w:rsidRPr="000C5AF1">
        <w:t xml:space="preserve"> </w:t>
      </w:r>
      <w:r w:rsidRPr="00603D7C">
        <w:t>IFAD</w:t>
      </w:r>
      <w:r>
        <w:t>-financed</w:t>
      </w:r>
      <w:r w:rsidRPr="00603D7C">
        <w:t xml:space="preserve"> project in Sudan </w:t>
      </w:r>
      <w:r w:rsidR="00326788">
        <w:t>–</w:t>
      </w:r>
      <w:r w:rsidRPr="00603D7C">
        <w:t xml:space="preserve"> IAMDP</w:t>
      </w:r>
      <w:r w:rsidR="00326788">
        <w:t xml:space="preserve"> -</w:t>
      </w:r>
      <w:r w:rsidRPr="00603D7C">
        <w:t xml:space="preserve"> and mainly in terms of the </w:t>
      </w:r>
      <w:r w:rsidR="00D562AF" w:rsidRPr="00603D7C">
        <w:t>public-private-partnership</w:t>
      </w:r>
      <w:r w:rsidR="00D562AF" w:rsidRPr="00603D7C" w:rsidDel="00D562AF">
        <w:t xml:space="preserve"> </w:t>
      </w:r>
      <w:r w:rsidRPr="00603D7C">
        <w:t>model.</w:t>
      </w:r>
    </w:p>
    <w:p w:rsidR="00D31C5C" w:rsidRPr="008F17D9" w:rsidRDefault="00D31C5C" w:rsidP="00844241">
      <w:pPr>
        <w:pStyle w:val="ListParagraph"/>
        <w:numPr>
          <w:ilvl w:val="0"/>
          <w:numId w:val="10"/>
        </w:numPr>
        <w:spacing w:after="120"/>
        <w:ind w:left="567" w:hanging="567"/>
        <w:contextualSpacing w:val="0"/>
        <w:rPr>
          <w:lang w:val="en-GB"/>
        </w:rPr>
      </w:pPr>
      <w:r>
        <w:t xml:space="preserve">The PCRV rating for scaling up is </w:t>
      </w:r>
      <w:r w:rsidRPr="00D31C5C">
        <w:rPr>
          <w:i/>
          <w:iCs/>
        </w:rPr>
        <w:t>satisfactory (5)</w:t>
      </w:r>
      <w:r>
        <w:t>, in line with the PCR rating</w:t>
      </w:r>
      <w:r w:rsidR="00803426">
        <w:t>.</w:t>
      </w:r>
    </w:p>
    <w:p w:rsidR="00782699" w:rsidRPr="007F2A98" w:rsidRDefault="00782699" w:rsidP="00803426">
      <w:pPr>
        <w:pStyle w:val="ListParagraph"/>
        <w:spacing w:after="40"/>
        <w:ind w:left="567"/>
        <w:contextualSpacing w:val="0"/>
        <w:rPr>
          <w:b/>
          <w:bCs/>
          <w:sz w:val="22"/>
          <w:szCs w:val="22"/>
        </w:rPr>
      </w:pPr>
      <w:r>
        <w:rPr>
          <w:b/>
          <w:bCs/>
          <w:sz w:val="22"/>
          <w:szCs w:val="22"/>
        </w:rPr>
        <w:t>Gender equality and women’s empowerment</w:t>
      </w:r>
    </w:p>
    <w:p w:rsidR="004D5228" w:rsidRPr="0008689D" w:rsidRDefault="0008689D" w:rsidP="00330F19">
      <w:pPr>
        <w:pStyle w:val="ListParagraph"/>
        <w:numPr>
          <w:ilvl w:val="0"/>
          <w:numId w:val="10"/>
        </w:numPr>
        <w:spacing w:after="120"/>
        <w:ind w:left="567" w:hanging="567"/>
        <w:contextualSpacing w:val="0"/>
        <w:rPr>
          <w:bCs/>
          <w:lang w:val="en-SG"/>
        </w:rPr>
      </w:pPr>
      <w:r>
        <w:t>SDP</w:t>
      </w:r>
      <w:r w:rsidRPr="0008689D">
        <w:rPr>
          <w:lang w:val="en-GB"/>
        </w:rPr>
        <w:t xml:space="preserve"> ensured</w:t>
      </w:r>
      <w:r w:rsidR="00EB19C3" w:rsidRPr="0008689D">
        <w:rPr>
          <w:lang w:val="en-GB"/>
        </w:rPr>
        <w:t xml:space="preserve"> </w:t>
      </w:r>
      <w:r w:rsidRPr="0008689D">
        <w:rPr>
          <w:lang w:val="en-GB"/>
        </w:rPr>
        <w:t>access of women</w:t>
      </w:r>
      <w:r w:rsidR="00EB19C3" w:rsidRPr="0008689D">
        <w:rPr>
          <w:lang w:val="en-GB"/>
        </w:rPr>
        <w:t xml:space="preserve"> to project services and benefits through setting </w:t>
      </w:r>
      <w:r w:rsidRPr="0008689D">
        <w:rPr>
          <w:lang w:val="en-GB"/>
        </w:rPr>
        <w:t>a 30 per cent participation quota</w:t>
      </w:r>
      <w:r>
        <w:rPr>
          <w:lang w:val="en-GB"/>
        </w:rPr>
        <w:t xml:space="preserve">. </w:t>
      </w:r>
      <w:r w:rsidR="00480DE5" w:rsidRPr="0008689D">
        <w:rPr>
          <w:lang w:val="en-GB"/>
        </w:rPr>
        <w:t>Women represented</w:t>
      </w:r>
      <w:r w:rsidR="003573E3" w:rsidRPr="0008689D">
        <w:rPr>
          <w:lang w:val="en-GB"/>
        </w:rPr>
        <w:t xml:space="preserve"> 37 per cent of farmers in </w:t>
      </w:r>
      <w:r w:rsidR="00480DE5" w:rsidRPr="0008689D">
        <w:rPr>
          <w:lang w:val="en-GB"/>
        </w:rPr>
        <w:t xml:space="preserve">the </w:t>
      </w:r>
      <w:r w:rsidR="003573E3" w:rsidRPr="0008689D">
        <w:rPr>
          <w:lang w:val="en-GB"/>
        </w:rPr>
        <w:t>SGG</w:t>
      </w:r>
      <w:r w:rsidR="00331FF9">
        <w:rPr>
          <w:lang w:val="en-GB"/>
        </w:rPr>
        <w:t>s</w:t>
      </w:r>
      <w:r w:rsidR="003573E3" w:rsidRPr="0008689D">
        <w:rPr>
          <w:lang w:val="en-GB"/>
        </w:rPr>
        <w:t xml:space="preserve">, 32 per cent </w:t>
      </w:r>
      <w:r w:rsidR="00331FF9">
        <w:rPr>
          <w:lang w:val="en-GB"/>
        </w:rPr>
        <w:t>in</w:t>
      </w:r>
      <w:r w:rsidR="003573E3" w:rsidRPr="0008689D">
        <w:rPr>
          <w:lang w:val="en-GB"/>
        </w:rPr>
        <w:t xml:space="preserve"> GPG</w:t>
      </w:r>
      <w:r w:rsidR="00331FF9">
        <w:rPr>
          <w:lang w:val="en-GB"/>
        </w:rPr>
        <w:t>s</w:t>
      </w:r>
      <w:r w:rsidR="00480DE5" w:rsidRPr="0008689D">
        <w:rPr>
          <w:lang w:val="en-GB"/>
        </w:rPr>
        <w:t>.</w:t>
      </w:r>
      <w:r w:rsidR="003573E3" w:rsidRPr="0008689D">
        <w:rPr>
          <w:lang w:val="en-GB"/>
        </w:rPr>
        <w:t xml:space="preserve"> </w:t>
      </w:r>
      <w:r w:rsidR="001962C1" w:rsidRPr="0008689D">
        <w:rPr>
          <w:lang w:val="en-GB"/>
        </w:rPr>
        <w:t>The project</w:t>
      </w:r>
      <w:r w:rsidR="004D5228" w:rsidRPr="0008689D">
        <w:rPr>
          <w:lang w:val="en-GB"/>
        </w:rPr>
        <w:t xml:space="preserve"> </w:t>
      </w:r>
      <w:r w:rsidR="001962C1" w:rsidRPr="0008689D">
        <w:rPr>
          <w:lang w:val="en-GB"/>
        </w:rPr>
        <w:t>improved the</w:t>
      </w:r>
      <w:r w:rsidR="004D5228" w:rsidRPr="0008689D">
        <w:rPr>
          <w:lang w:val="en-GB"/>
        </w:rPr>
        <w:t xml:space="preserve"> access of women to services and assets such as access to advisory services for seed production (110 per cent of the estimated target),</w:t>
      </w:r>
      <w:r w:rsidR="00550B9D" w:rsidRPr="0008689D">
        <w:rPr>
          <w:lang w:val="en-GB"/>
        </w:rPr>
        <w:t xml:space="preserve"> </w:t>
      </w:r>
      <w:r w:rsidR="004D5228" w:rsidRPr="0008689D">
        <w:rPr>
          <w:lang w:val="en-GB"/>
        </w:rPr>
        <w:t>access to microfinance services (50 per cent of target), access to certified seeds (41 per cent of target)</w:t>
      </w:r>
      <w:r w:rsidR="001962C1" w:rsidRPr="0008689D">
        <w:rPr>
          <w:lang w:val="en-GB"/>
        </w:rPr>
        <w:t>.</w:t>
      </w:r>
      <w:r w:rsidR="001962C1">
        <w:rPr>
          <w:rStyle w:val="FootnoteReference"/>
          <w:lang w:val="en-GB"/>
        </w:rPr>
        <w:footnoteReference w:id="40"/>
      </w:r>
      <w:r w:rsidR="007314D1" w:rsidRPr="0008689D">
        <w:rPr>
          <w:lang w:val="en-GB"/>
        </w:rPr>
        <w:t xml:space="preserve"> It is difficult to assess whether there are changes in wom</w:t>
      </w:r>
      <w:r w:rsidR="002A50DA" w:rsidRPr="0008689D">
        <w:rPr>
          <w:lang w:val="en-GB"/>
        </w:rPr>
        <w:t>en status at the community or household level</w:t>
      </w:r>
      <w:r>
        <w:rPr>
          <w:lang w:val="en-GB"/>
        </w:rPr>
        <w:t xml:space="preserve"> </w:t>
      </w:r>
      <w:r w:rsidR="00211909">
        <w:rPr>
          <w:lang w:val="en-GB"/>
        </w:rPr>
        <w:t xml:space="preserve">due to </w:t>
      </w:r>
      <w:r>
        <w:rPr>
          <w:lang w:val="en-GB"/>
        </w:rPr>
        <w:t>the limited data available in the PCR</w:t>
      </w:r>
      <w:r w:rsidR="002A50DA" w:rsidRPr="0008689D">
        <w:rPr>
          <w:lang w:val="en-GB"/>
        </w:rPr>
        <w:t xml:space="preserve">. However, it is likely that </w:t>
      </w:r>
      <w:r>
        <w:rPr>
          <w:lang w:val="en-GB"/>
        </w:rPr>
        <w:t>their participation to the various activities</w:t>
      </w:r>
      <w:r w:rsidR="002A50DA" w:rsidRPr="0008689D">
        <w:rPr>
          <w:lang w:val="en-GB"/>
        </w:rPr>
        <w:t xml:space="preserve"> improved their skills and their social status.</w:t>
      </w:r>
      <w:r w:rsidR="007E3DCF">
        <w:rPr>
          <w:lang w:val="en-GB"/>
        </w:rPr>
        <w:t xml:space="preserve"> </w:t>
      </w:r>
    </w:p>
    <w:p w:rsidR="005667E5" w:rsidRPr="004D5228" w:rsidRDefault="005667E5" w:rsidP="00844241">
      <w:pPr>
        <w:pStyle w:val="ListParagraph"/>
        <w:numPr>
          <w:ilvl w:val="0"/>
          <w:numId w:val="10"/>
        </w:numPr>
        <w:spacing w:after="120"/>
        <w:ind w:left="567" w:hanging="567"/>
        <w:contextualSpacing w:val="0"/>
        <w:rPr>
          <w:bCs/>
          <w:lang w:val="en-SG"/>
        </w:rPr>
      </w:pPr>
      <w:r>
        <w:rPr>
          <w:lang w:val="en-GB"/>
        </w:rPr>
        <w:t xml:space="preserve">The PCRV rates GEWE </w:t>
      </w:r>
      <w:r w:rsidRPr="005667E5">
        <w:rPr>
          <w:i/>
          <w:iCs/>
          <w:lang w:val="en-GB"/>
        </w:rPr>
        <w:t>moderately satisfactory (4),</w:t>
      </w:r>
      <w:r>
        <w:rPr>
          <w:lang w:val="en-GB"/>
        </w:rPr>
        <w:t xml:space="preserve"> in line with the PCR rating.</w:t>
      </w:r>
    </w:p>
    <w:p w:rsidR="004139C4" w:rsidRPr="00867BCD" w:rsidRDefault="004139C4" w:rsidP="00803426">
      <w:pPr>
        <w:pStyle w:val="ListParagraph"/>
        <w:spacing w:after="40"/>
        <w:ind w:left="567"/>
        <w:contextualSpacing w:val="0"/>
        <w:rPr>
          <w:b/>
          <w:bCs/>
          <w:sz w:val="22"/>
          <w:szCs w:val="22"/>
        </w:rPr>
      </w:pPr>
      <w:r>
        <w:rPr>
          <w:b/>
          <w:bCs/>
          <w:sz w:val="22"/>
          <w:szCs w:val="22"/>
        </w:rPr>
        <w:t>Environment and natural resources management</w:t>
      </w:r>
    </w:p>
    <w:p w:rsidR="005667E5" w:rsidRDefault="00184998" w:rsidP="00C10E06">
      <w:pPr>
        <w:pStyle w:val="ListParagraph"/>
        <w:numPr>
          <w:ilvl w:val="0"/>
          <w:numId w:val="10"/>
        </w:numPr>
        <w:spacing w:after="120"/>
        <w:ind w:left="567" w:hanging="567"/>
        <w:contextualSpacing w:val="0"/>
      </w:pPr>
      <w:r>
        <w:t xml:space="preserve">The PCR noted that SDP did not have any negative impact on the environment. </w:t>
      </w:r>
      <w:r w:rsidR="0008689D">
        <w:t>T</w:t>
      </w:r>
      <w:r>
        <w:t xml:space="preserve">he project </w:t>
      </w:r>
      <w:r w:rsidR="00C77D6E" w:rsidRPr="002A50DA">
        <w:t>promoted</w:t>
      </w:r>
      <w:r w:rsidR="009A0665" w:rsidRPr="002A50DA">
        <w:t xml:space="preserve"> </w:t>
      </w:r>
      <w:r>
        <w:t xml:space="preserve">environment friendly </w:t>
      </w:r>
      <w:r w:rsidR="00F069D8">
        <w:t>t</w:t>
      </w:r>
      <w:r>
        <w:t>echni</w:t>
      </w:r>
      <w:r w:rsidR="00F069D8">
        <w:t>cal package</w:t>
      </w:r>
      <w:r>
        <w:t>s</w:t>
      </w:r>
      <w:r w:rsidR="00F069D8">
        <w:t xml:space="preserve"> including</w:t>
      </w:r>
      <w:r w:rsidR="009A0665" w:rsidRPr="002A50DA">
        <w:t xml:space="preserve"> </w:t>
      </w:r>
      <w:r w:rsidR="008D0B85" w:rsidRPr="002A50DA">
        <w:t>chisel ploughing</w:t>
      </w:r>
      <w:r w:rsidR="005667E5">
        <w:t xml:space="preserve">, </w:t>
      </w:r>
      <w:r w:rsidR="00747466">
        <w:t>s</w:t>
      </w:r>
      <w:r w:rsidR="005667E5">
        <w:t>oil and water harvesting techni</w:t>
      </w:r>
      <w:r w:rsidR="00F069D8">
        <w:t xml:space="preserve">ques and supported farmers in their adoption through trainings and demonstrations. </w:t>
      </w:r>
      <w:r w:rsidR="00A747F5">
        <w:t>Around</w:t>
      </w:r>
      <w:r w:rsidR="005667E5" w:rsidRPr="00184998">
        <w:t xml:space="preserve"> 88 demonstrations on soil and water conservation </w:t>
      </w:r>
      <w:proofErr w:type="gramStart"/>
      <w:r w:rsidR="005667E5" w:rsidRPr="00184998">
        <w:t>were conducted</w:t>
      </w:r>
      <w:proofErr w:type="gramEnd"/>
      <w:r w:rsidR="005667E5" w:rsidRPr="00184998">
        <w:t>.</w:t>
      </w:r>
      <w:r>
        <w:t xml:space="preserve"> </w:t>
      </w:r>
    </w:p>
    <w:p w:rsidR="00DC1981" w:rsidRDefault="00DC1981" w:rsidP="00C10E06">
      <w:pPr>
        <w:pStyle w:val="ListParagraph"/>
        <w:numPr>
          <w:ilvl w:val="0"/>
          <w:numId w:val="10"/>
        </w:numPr>
        <w:spacing w:after="120"/>
        <w:ind w:left="567" w:hanging="567"/>
        <w:contextualSpacing w:val="0"/>
      </w:pPr>
      <w:r>
        <w:t>However</w:t>
      </w:r>
      <w:r w:rsidR="00AF7D61">
        <w:t xml:space="preserve">, </w:t>
      </w:r>
      <w:r w:rsidR="00D203D3">
        <w:t xml:space="preserve">there was also a case </w:t>
      </w:r>
      <w:r w:rsidR="00C10E06">
        <w:t>where</w:t>
      </w:r>
      <w:r w:rsidR="00D203D3">
        <w:t xml:space="preserve"> </w:t>
      </w:r>
      <w:r w:rsidR="00AF7D61">
        <w:t xml:space="preserve">natural resources management </w:t>
      </w:r>
      <w:proofErr w:type="gramStart"/>
      <w:r w:rsidR="00AF7D61">
        <w:t xml:space="preserve">was </w:t>
      </w:r>
      <w:r w:rsidR="00D203D3">
        <w:t xml:space="preserve">not </w:t>
      </w:r>
      <w:r w:rsidR="00AF7D61">
        <w:t>given</w:t>
      </w:r>
      <w:proofErr w:type="gramEnd"/>
      <w:r w:rsidR="00AF7D61">
        <w:t xml:space="preserve"> </w:t>
      </w:r>
      <w:r w:rsidR="00D203D3">
        <w:t>sufficient</w:t>
      </w:r>
      <w:r w:rsidR="00AF7D61">
        <w:t xml:space="preserve"> attention.</w:t>
      </w:r>
      <w:r>
        <w:t xml:space="preserve"> </w:t>
      </w:r>
      <w:r w:rsidR="00AF7D61">
        <w:t>O</w:t>
      </w:r>
      <w:r w:rsidR="00330F19">
        <w:t xml:space="preserve">ne of the new variety of sorghum was suitable for </w:t>
      </w:r>
      <w:proofErr w:type="spellStart"/>
      <w:r w:rsidR="00330F19">
        <w:t>gardud</w:t>
      </w:r>
      <w:proofErr w:type="spellEnd"/>
      <w:r w:rsidR="00330F19">
        <w:t xml:space="preserve"> soils</w:t>
      </w:r>
      <w:r w:rsidR="00055D24">
        <w:t>,</w:t>
      </w:r>
      <w:r w:rsidR="00330F19">
        <w:t xml:space="preserve"> which are grazing areas in North </w:t>
      </w:r>
      <w:proofErr w:type="spellStart"/>
      <w:r w:rsidR="00330F19">
        <w:t>Kordofan</w:t>
      </w:r>
      <w:proofErr w:type="spellEnd"/>
      <w:r w:rsidR="00330F19">
        <w:t xml:space="preserve">, raising question on the expansion of farming on </w:t>
      </w:r>
      <w:proofErr w:type="gramStart"/>
      <w:r w:rsidR="00330F19">
        <w:t>pasture land</w:t>
      </w:r>
      <w:proofErr w:type="gramEnd"/>
      <w:r w:rsidR="00330F19">
        <w:t>.</w:t>
      </w:r>
      <w:r w:rsidR="00330F19">
        <w:rPr>
          <w:rStyle w:val="FootnoteReference"/>
        </w:rPr>
        <w:footnoteReference w:id="41"/>
      </w:r>
      <w:r w:rsidR="00C052EE">
        <w:t xml:space="preserve"> </w:t>
      </w:r>
    </w:p>
    <w:p w:rsidR="00184998" w:rsidRPr="00184998" w:rsidRDefault="00184998" w:rsidP="00844241">
      <w:pPr>
        <w:pStyle w:val="ListParagraph"/>
        <w:numPr>
          <w:ilvl w:val="0"/>
          <w:numId w:val="10"/>
        </w:numPr>
        <w:spacing w:after="120"/>
        <w:ind w:left="567" w:hanging="567"/>
        <w:contextualSpacing w:val="0"/>
      </w:pPr>
      <w:r>
        <w:t xml:space="preserve">The PCRV rates environment and natural resources management </w:t>
      </w:r>
      <w:r>
        <w:rPr>
          <w:i/>
          <w:iCs/>
        </w:rPr>
        <w:t>satisfactory (5)</w:t>
      </w:r>
      <w:r>
        <w:t>, in line with the PCR rating.</w:t>
      </w:r>
    </w:p>
    <w:p w:rsidR="00C77D6E" w:rsidRPr="00F04D9A" w:rsidRDefault="00C77D6E" w:rsidP="00803426">
      <w:pPr>
        <w:pStyle w:val="ListParagraph"/>
        <w:spacing w:after="40"/>
        <w:ind w:left="567"/>
        <w:contextualSpacing w:val="0"/>
        <w:rPr>
          <w:b/>
          <w:bCs/>
          <w:sz w:val="22"/>
          <w:szCs w:val="22"/>
        </w:rPr>
      </w:pPr>
      <w:r w:rsidRPr="00F04D9A">
        <w:rPr>
          <w:b/>
          <w:bCs/>
          <w:sz w:val="22"/>
          <w:szCs w:val="22"/>
        </w:rPr>
        <w:t>Adaptation to climate change</w:t>
      </w:r>
    </w:p>
    <w:p w:rsidR="009C3906" w:rsidRDefault="009C3906" w:rsidP="0078366A">
      <w:pPr>
        <w:pStyle w:val="ListParagraph"/>
        <w:numPr>
          <w:ilvl w:val="0"/>
          <w:numId w:val="10"/>
        </w:numPr>
        <w:spacing w:after="120"/>
        <w:ind w:left="567" w:hanging="567"/>
        <w:contextualSpacing w:val="0"/>
      </w:pPr>
      <w:r>
        <w:t>SDP</w:t>
      </w:r>
      <w:r w:rsidRPr="001E2E10">
        <w:t xml:space="preserve"> enhanced the resilience </w:t>
      </w:r>
      <w:r>
        <w:t xml:space="preserve">of farmers </w:t>
      </w:r>
      <w:r w:rsidRPr="001E2E10">
        <w:t>to climate change</w:t>
      </w:r>
      <w:r>
        <w:t xml:space="preserve"> </w:t>
      </w:r>
      <w:r w:rsidRPr="001E2E10">
        <w:t xml:space="preserve">through the promotion of technical packages that </w:t>
      </w:r>
      <w:r>
        <w:t>improved</w:t>
      </w:r>
      <w:r w:rsidRPr="009C3906">
        <w:t xml:space="preserve"> </w:t>
      </w:r>
      <w:r>
        <w:t xml:space="preserve">water retention and adoption of </w:t>
      </w:r>
      <w:r w:rsidR="00C10E06">
        <w:t xml:space="preserve">drought </w:t>
      </w:r>
      <w:r w:rsidR="0078366A">
        <w:t>resistant</w:t>
      </w:r>
      <w:r>
        <w:t xml:space="preserve"> varieties (cash crop: sesame</w:t>
      </w:r>
      <w:r w:rsidR="00D203D3">
        <w:t>,</w:t>
      </w:r>
      <w:r>
        <w:t xml:space="preserve"> groundnut</w:t>
      </w:r>
      <w:r w:rsidR="00D203D3">
        <w:t>;</w:t>
      </w:r>
      <w:r>
        <w:t xml:space="preserve"> and staple crop: sorghum and cowpea). </w:t>
      </w:r>
      <w:r w:rsidR="008B2A35" w:rsidRPr="008B2A35">
        <w:rPr>
          <w:rFonts w:cstheme="minorBidi"/>
        </w:rPr>
        <w:t>Promot</w:t>
      </w:r>
      <w:r w:rsidR="008B2A35">
        <w:rPr>
          <w:rFonts w:cstheme="minorBidi"/>
        </w:rPr>
        <w:t xml:space="preserve">ed </w:t>
      </w:r>
      <w:r w:rsidR="008B2A35" w:rsidRPr="008B2A35">
        <w:rPr>
          <w:rFonts w:cstheme="minorBidi"/>
        </w:rPr>
        <w:t xml:space="preserve">techniques </w:t>
      </w:r>
      <w:r w:rsidR="008B2A35">
        <w:rPr>
          <w:rFonts w:cstheme="minorBidi"/>
        </w:rPr>
        <w:t>included those for</w:t>
      </w:r>
      <w:r w:rsidR="008B2A35" w:rsidRPr="008B2A35">
        <w:rPr>
          <w:rFonts w:cstheme="minorBidi"/>
        </w:rPr>
        <w:t xml:space="preserve"> seed bed preparation and water harvest</w:t>
      </w:r>
      <w:r w:rsidR="008B2A35">
        <w:rPr>
          <w:rFonts w:cstheme="minorBidi"/>
        </w:rPr>
        <w:t>ing</w:t>
      </w:r>
      <w:r w:rsidR="008B2A35" w:rsidRPr="008B2A35">
        <w:rPr>
          <w:rFonts w:cstheme="minorBidi"/>
        </w:rPr>
        <w:t xml:space="preserve"> (chisel and disc harrow</w:t>
      </w:r>
      <w:r w:rsidR="008B2A35">
        <w:rPr>
          <w:rFonts w:cstheme="minorBidi"/>
        </w:rPr>
        <w:t>) and</w:t>
      </w:r>
      <w:r w:rsidR="008B2A35" w:rsidRPr="008B2A35">
        <w:rPr>
          <w:rFonts w:cstheme="minorBidi"/>
        </w:rPr>
        <w:t xml:space="preserve"> crop planting using mechanical/pneumatic planter vs sowing (using traditional tools – </w:t>
      </w:r>
      <w:proofErr w:type="spellStart"/>
      <w:r w:rsidR="008B2A35" w:rsidRPr="008B2A35">
        <w:rPr>
          <w:rFonts w:cstheme="minorBidi"/>
          <w:i/>
          <w:iCs/>
        </w:rPr>
        <w:t>sallouka</w:t>
      </w:r>
      <w:proofErr w:type="spellEnd"/>
      <w:r w:rsidR="008B2A35" w:rsidRPr="008B2A35">
        <w:rPr>
          <w:rFonts w:cstheme="minorBidi"/>
        </w:rPr>
        <w:t xml:space="preserve"> and seed broadcasting</w:t>
      </w:r>
      <w:r w:rsidR="008B2A35">
        <w:rPr>
          <w:rFonts w:cstheme="minorBidi"/>
        </w:rPr>
        <w:t>)</w:t>
      </w:r>
      <w:r w:rsidR="008B2A35" w:rsidRPr="008B2A35">
        <w:rPr>
          <w:rFonts w:cstheme="minorBidi"/>
        </w:rPr>
        <w:t>.</w:t>
      </w:r>
      <w:r w:rsidR="008B2A35" w:rsidRPr="002C26CB">
        <w:rPr>
          <w:rFonts w:asciiTheme="minorBidi" w:hAnsiTheme="minorBidi" w:cstheme="minorBidi"/>
        </w:rPr>
        <w:t xml:space="preserve"> </w:t>
      </w:r>
      <w:r w:rsidR="0078366A" w:rsidRPr="0078366A">
        <w:rPr>
          <w:rFonts w:cstheme="minorBidi"/>
        </w:rPr>
        <w:t>These</w:t>
      </w:r>
      <w:r w:rsidR="0078366A">
        <w:rPr>
          <w:rFonts w:cstheme="minorBidi"/>
        </w:rPr>
        <w:t xml:space="preserve"> </w:t>
      </w:r>
      <w:r w:rsidR="00A56C53">
        <w:rPr>
          <w:rFonts w:cstheme="minorBidi"/>
        </w:rPr>
        <w:t>serve as</w:t>
      </w:r>
      <w:r w:rsidR="0078366A">
        <w:rPr>
          <w:rFonts w:cstheme="minorBidi"/>
        </w:rPr>
        <w:t xml:space="preserve"> measures for improved natural resource management (soil and water conservation) as well as for climate change adaptation. </w:t>
      </w:r>
      <w:r>
        <w:t>The a</w:t>
      </w:r>
      <w:r w:rsidRPr="00DB27D9">
        <w:t>doption rates of improved varieties and good agriculture practices by smallholders</w:t>
      </w:r>
      <w:r w:rsidR="00064B5A">
        <w:t>,</w:t>
      </w:r>
      <w:r w:rsidRPr="00DB27D9">
        <w:t xml:space="preserve"> </w:t>
      </w:r>
      <w:r>
        <w:t>as presented in the PCR</w:t>
      </w:r>
      <w:r w:rsidR="00064B5A">
        <w:t>,</w:t>
      </w:r>
      <w:r>
        <w:t xml:space="preserve"> </w:t>
      </w:r>
      <w:r w:rsidR="00331FF9">
        <w:t>were</w:t>
      </w:r>
      <w:r w:rsidRPr="00DB27D9">
        <w:t xml:space="preserve"> </w:t>
      </w:r>
      <w:r>
        <w:t>41 per cent</w:t>
      </w:r>
      <w:r w:rsidRPr="00DB27D9">
        <w:t xml:space="preserve"> for </w:t>
      </w:r>
      <w:r w:rsidR="00331FF9">
        <w:t>s</w:t>
      </w:r>
      <w:r w:rsidRPr="00DB27D9">
        <w:t>orghum</w:t>
      </w:r>
      <w:r w:rsidR="00331FF9">
        <w:t>,</w:t>
      </w:r>
      <w:r w:rsidRPr="00DB27D9">
        <w:t xml:space="preserve"> 53</w:t>
      </w:r>
      <w:r>
        <w:t xml:space="preserve"> per cent</w:t>
      </w:r>
      <w:r w:rsidRPr="00DB27D9">
        <w:t xml:space="preserve"> for </w:t>
      </w:r>
      <w:r w:rsidR="00331FF9">
        <w:t>s</w:t>
      </w:r>
      <w:r w:rsidRPr="00DB27D9">
        <w:t>esame</w:t>
      </w:r>
      <w:r w:rsidR="00331FF9">
        <w:t>, and</w:t>
      </w:r>
      <w:r w:rsidRPr="00DB27D9">
        <w:t xml:space="preserve"> 87</w:t>
      </w:r>
      <w:r>
        <w:t xml:space="preserve"> per cent</w:t>
      </w:r>
      <w:r w:rsidRPr="00DB27D9">
        <w:t xml:space="preserve"> for groundnuts.</w:t>
      </w:r>
      <w:r>
        <w:rPr>
          <w:rStyle w:val="FootnoteReference"/>
        </w:rPr>
        <w:footnoteReference w:id="42"/>
      </w:r>
    </w:p>
    <w:p w:rsidR="005667E5" w:rsidRPr="00C77D6E" w:rsidRDefault="005667E5" w:rsidP="00844241">
      <w:pPr>
        <w:pStyle w:val="ListParagraph"/>
        <w:numPr>
          <w:ilvl w:val="0"/>
          <w:numId w:val="10"/>
        </w:numPr>
        <w:spacing w:after="120"/>
        <w:ind w:left="567" w:hanging="567"/>
        <w:contextualSpacing w:val="0"/>
      </w:pPr>
      <w:r>
        <w:t xml:space="preserve">The PCRV rates adaptation to climate change </w:t>
      </w:r>
      <w:r w:rsidRPr="005667E5">
        <w:rPr>
          <w:i/>
          <w:iCs/>
        </w:rPr>
        <w:t>satisfactory (5),</w:t>
      </w:r>
      <w:r>
        <w:t xml:space="preserve"> in line with the PCR rating.</w:t>
      </w:r>
    </w:p>
    <w:p w:rsidR="004139C4" w:rsidRDefault="004139C4" w:rsidP="00803426">
      <w:pPr>
        <w:pStyle w:val="Heading2"/>
      </w:pPr>
      <w:bookmarkStart w:id="9" w:name="_Toc342056705"/>
      <w:r>
        <w:t>Overall project achievement</w:t>
      </w:r>
      <w:bookmarkEnd w:id="9"/>
    </w:p>
    <w:p w:rsidR="002564C6" w:rsidRPr="00BE1DC2" w:rsidRDefault="00FD59D0">
      <w:pPr>
        <w:pStyle w:val="ListParagraph"/>
        <w:numPr>
          <w:ilvl w:val="0"/>
          <w:numId w:val="10"/>
        </w:numPr>
        <w:spacing w:after="120"/>
        <w:ind w:left="567" w:hanging="567"/>
        <w:contextualSpacing w:val="0"/>
        <w:rPr>
          <w:rFonts w:asciiTheme="minorBidi" w:eastAsia="Times New Roman" w:hAnsiTheme="minorBidi" w:cstheme="minorBidi"/>
          <w:lang w:val="en-GB"/>
        </w:rPr>
      </w:pPr>
      <w:r w:rsidRPr="00AE1DAE">
        <w:rPr>
          <w:rFonts w:eastAsia="Batang"/>
          <w:lang w:val="en-GB" w:eastAsia="en-GB"/>
        </w:rPr>
        <w:t xml:space="preserve">Despite delays in implementation caused by the inadequacy of the private sector engagement strategy, </w:t>
      </w:r>
      <w:r w:rsidR="00F43C6D">
        <w:rPr>
          <w:rFonts w:eastAsia="Batang"/>
          <w:lang w:val="en-GB" w:eastAsia="en-GB"/>
        </w:rPr>
        <w:t xml:space="preserve">based on the adjustments made at MTR, </w:t>
      </w:r>
      <w:r w:rsidRPr="00AE1DAE">
        <w:rPr>
          <w:rFonts w:eastAsia="Batang"/>
          <w:lang w:val="en-GB" w:eastAsia="en-GB"/>
        </w:rPr>
        <w:t>the project succeeded in introducing a new farming business model based on public-private partnership.</w:t>
      </w:r>
      <w:r w:rsidR="002F062E" w:rsidRPr="00AE1DAE">
        <w:rPr>
          <w:rFonts w:eastAsia="Batang"/>
          <w:lang w:val="en-GB" w:eastAsia="en-GB"/>
        </w:rPr>
        <w:t xml:space="preserve"> </w:t>
      </w:r>
      <w:r w:rsidR="00563713" w:rsidRPr="00AE1DAE">
        <w:rPr>
          <w:rFonts w:eastAsia="Batang"/>
          <w:lang w:val="en-GB" w:eastAsia="en-GB"/>
        </w:rPr>
        <w:t>This model contributed to increase</w:t>
      </w:r>
      <w:r w:rsidR="00F43C6D">
        <w:rPr>
          <w:rFonts w:eastAsia="Batang"/>
          <w:lang w:val="en-GB" w:eastAsia="en-GB"/>
        </w:rPr>
        <w:t>d</w:t>
      </w:r>
      <w:r w:rsidR="00C9375A" w:rsidRPr="00AE1DAE">
        <w:rPr>
          <w:rFonts w:eastAsia="Batang"/>
          <w:lang w:val="en-GB" w:eastAsia="en-GB"/>
        </w:rPr>
        <w:t xml:space="preserve"> supply</w:t>
      </w:r>
      <w:r w:rsidR="00E22AB6">
        <w:rPr>
          <w:rFonts w:eastAsia="Batang"/>
          <w:lang w:val="en-GB" w:eastAsia="en-GB"/>
        </w:rPr>
        <w:t>,</w:t>
      </w:r>
      <w:r w:rsidR="00C9375A" w:rsidRPr="00AE1DAE">
        <w:rPr>
          <w:rFonts w:eastAsia="Batang"/>
          <w:lang w:val="en-GB" w:eastAsia="en-GB"/>
        </w:rPr>
        <w:t xml:space="preserve"> </w:t>
      </w:r>
      <w:r w:rsidR="00E22AB6">
        <w:rPr>
          <w:rFonts w:eastAsia="Batang"/>
          <w:lang w:val="en-GB" w:eastAsia="en-GB"/>
        </w:rPr>
        <w:t xml:space="preserve">availability </w:t>
      </w:r>
      <w:r w:rsidR="00C9375A" w:rsidRPr="00AE1DAE">
        <w:rPr>
          <w:rFonts w:eastAsia="Batang"/>
          <w:lang w:val="en-GB" w:eastAsia="en-GB"/>
        </w:rPr>
        <w:t xml:space="preserve">and </w:t>
      </w:r>
      <w:r w:rsidR="00F43C6D">
        <w:rPr>
          <w:rFonts w:eastAsia="Batang"/>
          <w:lang w:val="en-GB" w:eastAsia="en-GB"/>
        </w:rPr>
        <w:t>adoption</w:t>
      </w:r>
      <w:r w:rsidR="00563713" w:rsidRPr="00AE1DAE">
        <w:rPr>
          <w:rFonts w:eastAsia="Batang"/>
          <w:lang w:val="en-GB" w:eastAsia="en-GB"/>
        </w:rPr>
        <w:t xml:space="preserve"> of certified</w:t>
      </w:r>
      <w:r w:rsidR="00F43C6D">
        <w:rPr>
          <w:rFonts w:eastAsia="Batang"/>
          <w:lang w:val="en-GB" w:eastAsia="en-GB"/>
        </w:rPr>
        <w:t xml:space="preserve"> or improved</w:t>
      </w:r>
      <w:r w:rsidR="00563713" w:rsidRPr="00AE1DAE">
        <w:rPr>
          <w:rFonts w:eastAsia="Batang"/>
          <w:lang w:val="en-GB" w:eastAsia="en-GB"/>
        </w:rPr>
        <w:t xml:space="preserve"> seeds</w:t>
      </w:r>
      <w:r w:rsidR="00C9375A" w:rsidRPr="00AE1DAE">
        <w:rPr>
          <w:rFonts w:eastAsia="Batang"/>
          <w:lang w:val="en-GB" w:eastAsia="en-GB"/>
        </w:rPr>
        <w:t>.</w:t>
      </w:r>
      <w:r w:rsidRPr="00AE1DAE">
        <w:rPr>
          <w:rFonts w:eastAsia="Batang"/>
          <w:lang w:val="en-GB" w:eastAsia="en-GB"/>
        </w:rPr>
        <w:t xml:space="preserve"> </w:t>
      </w:r>
      <w:r w:rsidR="005A294F" w:rsidRPr="00AE1DAE">
        <w:rPr>
          <w:rFonts w:eastAsia="Batang"/>
          <w:lang w:val="en-GB" w:eastAsia="en-GB"/>
        </w:rPr>
        <w:t>Agricultural</w:t>
      </w:r>
      <w:r w:rsidR="002564C6" w:rsidRPr="00AE1DAE">
        <w:rPr>
          <w:rFonts w:eastAsia="Batang"/>
          <w:lang w:val="en-GB" w:eastAsia="en-GB"/>
        </w:rPr>
        <w:t xml:space="preserve"> productivity increased thanks to the </w:t>
      </w:r>
      <w:r w:rsidR="0022205A">
        <w:rPr>
          <w:rFonts w:eastAsia="Batang"/>
          <w:lang w:val="en-GB" w:eastAsia="en-GB"/>
        </w:rPr>
        <w:t>suitable</w:t>
      </w:r>
      <w:r w:rsidR="00F43C6D">
        <w:rPr>
          <w:rFonts w:eastAsia="Batang"/>
          <w:lang w:val="en-GB" w:eastAsia="en-GB"/>
        </w:rPr>
        <w:t xml:space="preserve"> seed varieties</w:t>
      </w:r>
      <w:r w:rsidR="0022205A">
        <w:rPr>
          <w:rFonts w:eastAsia="Batang"/>
          <w:lang w:val="en-GB" w:eastAsia="en-GB"/>
        </w:rPr>
        <w:t xml:space="preserve">, improved seed </w:t>
      </w:r>
      <w:r w:rsidR="00F43C6D">
        <w:rPr>
          <w:rFonts w:eastAsia="Batang"/>
          <w:lang w:val="en-GB" w:eastAsia="en-GB"/>
        </w:rPr>
        <w:t xml:space="preserve">quality and </w:t>
      </w:r>
      <w:r w:rsidR="002564C6">
        <w:t>adoption of good agriculture practice (chisel ploughing).</w:t>
      </w:r>
      <w:r w:rsidR="005A294F" w:rsidRPr="00AE1DAE">
        <w:rPr>
          <w:rFonts w:eastAsia="Batang"/>
          <w:lang w:val="en-GB" w:eastAsia="en-GB"/>
        </w:rPr>
        <w:t xml:space="preserve"> </w:t>
      </w:r>
      <w:r w:rsidR="0022205A">
        <w:rPr>
          <w:rFonts w:eastAsia="Batang"/>
          <w:lang w:val="en-GB" w:eastAsia="en-GB"/>
        </w:rPr>
        <w:t xml:space="preserve">Improved availability and capacity of various types of private service providers and agro-dealers was also important project’s result. </w:t>
      </w:r>
      <w:r w:rsidR="005A294F" w:rsidRPr="00AE1DAE">
        <w:rPr>
          <w:rFonts w:eastAsia="Batang"/>
          <w:lang w:val="en-GB" w:eastAsia="en-GB"/>
        </w:rPr>
        <w:t xml:space="preserve">The innovative participatory research approach promoted by the project was </w:t>
      </w:r>
      <w:r w:rsidR="00F43C6D">
        <w:rPr>
          <w:rFonts w:eastAsia="Batang"/>
          <w:lang w:val="en-GB" w:eastAsia="en-GB"/>
        </w:rPr>
        <w:t xml:space="preserve">to </w:t>
      </w:r>
      <w:proofErr w:type="gramStart"/>
      <w:r w:rsidR="00F43C6D">
        <w:rPr>
          <w:rFonts w:eastAsia="Batang"/>
          <w:lang w:val="en-GB" w:eastAsia="en-GB"/>
        </w:rPr>
        <w:t xml:space="preserve">be </w:t>
      </w:r>
      <w:r w:rsidR="005A294F" w:rsidRPr="00AE1DAE">
        <w:rPr>
          <w:rFonts w:eastAsia="Batang"/>
          <w:lang w:val="en-GB" w:eastAsia="en-GB"/>
        </w:rPr>
        <w:t>scaled up</w:t>
      </w:r>
      <w:proofErr w:type="gramEnd"/>
      <w:r w:rsidR="005A294F" w:rsidRPr="00AE1DAE">
        <w:rPr>
          <w:rFonts w:eastAsia="Batang"/>
          <w:lang w:val="en-GB" w:eastAsia="en-GB"/>
        </w:rPr>
        <w:t xml:space="preserve"> by the National Seed Council to all ARC stations. </w:t>
      </w:r>
      <w:r w:rsidR="0022205A">
        <w:rPr>
          <w:rFonts w:eastAsia="Batang"/>
          <w:lang w:val="en-GB" w:eastAsia="en-GB"/>
        </w:rPr>
        <w:t xml:space="preserve">However, a very short effective project implementation period made it difficult </w:t>
      </w:r>
      <w:r w:rsidR="00E22AB6">
        <w:rPr>
          <w:rFonts w:eastAsia="Batang"/>
          <w:lang w:val="en-GB" w:eastAsia="en-GB"/>
        </w:rPr>
        <w:t xml:space="preserve">to generate greater impacts and to consolidate </w:t>
      </w:r>
      <w:r w:rsidR="0022205A">
        <w:rPr>
          <w:rFonts w:eastAsia="Batang"/>
          <w:lang w:val="en-GB" w:eastAsia="en-GB"/>
        </w:rPr>
        <w:t xml:space="preserve">the project achievements (which was to </w:t>
      </w:r>
      <w:proofErr w:type="gramStart"/>
      <w:r w:rsidR="0022205A">
        <w:rPr>
          <w:rFonts w:eastAsia="Batang"/>
          <w:lang w:val="en-GB" w:eastAsia="en-GB"/>
        </w:rPr>
        <w:t>be taken</w:t>
      </w:r>
      <w:proofErr w:type="gramEnd"/>
      <w:r w:rsidR="0022205A">
        <w:rPr>
          <w:rFonts w:eastAsia="Batang"/>
          <w:lang w:val="en-GB" w:eastAsia="en-GB"/>
        </w:rPr>
        <w:t xml:space="preserve"> over by IAMDP). </w:t>
      </w:r>
      <w:r w:rsidR="005A294F" w:rsidRPr="00AE1DAE">
        <w:rPr>
          <w:rFonts w:eastAsia="Batang"/>
          <w:lang w:val="en-GB" w:eastAsia="en-GB"/>
        </w:rPr>
        <w:t xml:space="preserve">Given </w:t>
      </w:r>
      <w:r w:rsidR="000F77E6">
        <w:rPr>
          <w:rFonts w:eastAsia="Batang"/>
          <w:lang w:val="en-GB" w:eastAsia="en-GB"/>
        </w:rPr>
        <w:t>the</w:t>
      </w:r>
      <w:r w:rsidR="005A294F" w:rsidRPr="00AE1DAE">
        <w:rPr>
          <w:rFonts w:eastAsia="Batang"/>
          <w:lang w:val="en-GB" w:eastAsia="en-GB"/>
        </w:rPr>
        <w:t xml:space="preserve"> weak M&amp;E system, it </w:t>
      </w:r>
      <w:r w:rsidR="000F77E6" w:rsidRPr="00AE1DAE">
        <w:rPr>
          <w:rFonts w:eastAsia="Batang"/>
          <w:lang w:val="en-GB" w:eastAsia="en-GB"/>
        </w:rPr>
        <w:t>is</w:t>
      </w:r>
      <w:r w:rsidR="005A294F" w:rsidRPr="00AE1DAE">
        <w:rPr>
          <w:rFonts w:eastAsia="Batang"/>
          <w:lang w:val="en-GB" w:eastAsia="en-GB"/>
        </w:rPr>
        <w:t xml:space="preserve"> difficult to capture the effects of the project on income</w:t>
      </w:r>
      <w:r w:rsidR="000F77E6">
        <w:rPr>
          <w:rFonts w:eastAsia="Batang"/>
          <w:lang w:val="en-GB" w:eastAsia="en-GB"/>
        </w:rPr>
        <w:t xml:space="preserve"> and household assets</w:t>
      </w:r>
      <w:r w:rsidR="005A294F" w:rsidRPr="00AE1DAE">
        <w:rPr>
          <w:rFonts w:eastAsia="Batang"/>
          <w:lang w:val="en-GB" w:eastAsia="en-GB"/>
        </w:rPr>
        <w:t xml:space="preserve">, food security and gender equality and women’s empowerment. </w:t>
      </w:r>
    </w:p>
    <w:p w:rsidR="005A21EC" w:rsidRPr="00AE1DAE" w:rsidRDefault="005A21EC" w:rsidP="00AE1DAE">
      <w:pPr>
        <w:pStyle w:val="ListParagraph"/>
        <w:numPr>
          <w:ilvl w:val="0"/>
          <w:numId w:val="10"/>
        </w:numPr>
        <w:spacing w:after="120"/>
        <w:ind w:left="567" w:hanging="567"/>
        <w:contextualSpacing w:val="0"/>
        <w:rPr>
          <w:rFonts w:asciiTheme="minorBidi" w:hAnsiTheme="minorBidi" w:cstheme="minorBidi"/>
          <w:lang w:val="en-GB"/>
        </w:rPr>
      </w:pPr>
      <w:r w:rsidRPr="00AE1DAE">
        <w:rPr>
          <w:rFonts w:eastAsia="Batang"/>
          <w:lang w:val="en-GB" w:eastAsia="en-GB"/>
        </w:rPr>
        <w:t xml:space="preserve">The PCRV rates the overall programme achievement as </w:t>
      </w:r>
      <w:r w:rsidR="00CE568F" w:rsidRPr="00AE1DAE">
        <w:rPr>
          <w:rFonts w:eastAsia="Batang"/>
          <w:i/>
          <w:iCs/>
          <w:lang w:val="en-GB" w:eastAsia="en-GB"/>
        </w:rPr>
        <w:t xml:space="preserve">moderately </w:t>
      </w:r>
      <w:r w:rsidRPr="00AE1DAE">
        <w:rPr>
          <w:rFonts w:eastAsia="Batang"/>
          <w:i/>
          <w:iCs/>
          <w:lang w:val="en-GB" w:eastAsia="en-GB"/>
        </w:rPr>
        <w:t>satisfactory</w:t>
      </w:r>
      <w:r w:rsidR="00245F4C" w:rsidRPr="00AE1DAE">
        <w:rPr>
          <w:rFonts w:eastAsia="Batang"/>
          <w:i/>
          <w:iCs/>
          <w:lang w:val="en-GB" w:eastAsia="en-GB"/>
        </w:rPr>
        <w:t xml:space="preserve"> (</w:t>
      </w:r>
      <w:r w:rsidR="00CE568F" w:rsidRPr="00AE1DAE">
        <w:rPr>
          <w:rFonts w:eastAsia="Batang"/>
          <w:i/>
          <w:iCs/>
          <w:lang w:val="en-GB" w:eastAsia="en-GB"/>
        </w:rPr>
        <w:t>4</w:t>
      </w:r>
      <w:r w:rsidR="00245F4C" w:rsidRPr="00AE1DAE">
        <w:rPr>
          <w:rFonts w:eastAsia="Batang"/>
          <w:i/>
          <w:iCs/>
          <w:lang w:val="en-GB" w:eastAsia="en-GB"/>
        </w:rPr>
        <w:t xml:space="preserve">), </w:t>
      </w:r>
      <w:r w:rsidR="00245F4C" w:rsidRPr="00765F7C">
        <w:rPr>
          <w:rFonts w:eastAsia="Batang"/>
          <w:lang w:val="en-GB" w:eastAsia="en-GB"/>
        </w:rPr>
        <w:t>one rating below the PCR rating</w:t>
      </w:r>
      <w:r w:rsidR="00803426">
        <w:rPr>
          <w:rFonts w:eastAsia="Batang"/>
          <w:i/>
          <w:iCs/>
          <w:lang w:val="en-GB" w:eastAsia="en-GB"/>
        </w:rPr>
        <w:t>.</w:t>
      </w:r>
    </w:p>
    <w:p w:rsidR="002639D7" w:rsidRDefault="002639D7" w:rsidP="00803426">
      <w:pPr>
        <w:pStyle w:val="Heading2"/>
      </w:pPr>
      <w:bookmarkStart w:id="10" w:name="_Toc323554921"/>
      <w:bookmarkStart w:id="11" w:name="_Toc323557630"/>
      <w:bookmarkStart w:id="12" w:name="_Toc342056704"/>
      <w:r>
        <w:t>Performance of partners</w:t>
      </w:r>
      <w:bookmarkEnd w:id="10"/>
      <w:bookmarkEnd w:id="11"/>
      <w:bookmarkEnd w:id="12"/>
      <w:r w:rsidR="008353EE">
        <w:t xml:space="preserve"> </w:t>
      </w:r>
    </w:p>
    <w:p w:rsidR="00C511E6" w:rsidRPr="00C511E6" w:rsidRDefault="00D93710" w:rsidP="00765F7C">
      <w:pPr>
        <w:pStyle w:val="ListParagraph"/>
        <w:numPr>
          <w:ilvl w:val="0"/>
          <w:numId w:val="10"/>
        </w:numPr>
        <w:spacing w:after="120"/>
        <w:ind w:left="567" w:hanging="567"/>
        <w:contextualSpacing w:val="0"/>
      </w:pPr>
      <w:r w:rsidRPr="007E2AE0">
        <w:rPr>
          <w:b/>
          <w:bCs/>
        </w:rPr>
        <w:t>IFAD.</w:t>
      </w:r>
      <w:r>
        <w:t xml:space="preserve"> </w:t>
      </w:r>
      <w:r w:rsidR="003F0050">
        <w:t xml:space="preserve">IFAD </w:t>
      </w:r>
      <w:proofErr w:type="gramStart"/>
      <w:r w:rsidR="003F0050">
        <w:t>was proactively engaged</w:t>
      </w:r>
      <w:proofErr w:type="gramEnd"/>
      <w:r w:rsidR="003F0050">
        <w:t xml:space="preserve"> and this is highlighted by the </w:t>
      </w:r>
      <w:r w:rsidR="00C77D6E">
        <w:t>adjustment</w:t>
      </w:r>
      <w:r w:rsidR="003F0050">
        <w:t xml:space="preserve"> introduced following the MTR to address the weakness in the design</w:t>
      </w:r>
      <w:r w:rsidR="00245F4C">
        <w:t xml:space="preserve"> and particularly the engagement strategy with the private sector. The IFAD in-country office provided regular support as noted by the PCR. </w:t>
      </w:r>
      <w:r w:rsidR="00C511E6">
        <w:t>In terms of knowledge management, i</w:t>
      </w:r>
      <w:r w:rsidR="007E2AE0">
        <w:t xml:space="preserve">t supported the participation of the </w:t>
      </w:r>
      <w:r w:rsidR="007E2AE0" w:rsidRPr="007E2AE0">
        <w:rPr>
          <w:lang w:val="en-GB"/>
        </w:rPr>
        <w:t xml:space="preserve">SDP staff and partners in </w:t>
      </w:r>
      <w:r w:rsidR="000D2D8C">
        <w:rPr>
          <w:lang w:val="en-GB"/>
        </w:rPr>
        <w:t>s</w:t>
      </w:r>
      <w:r w:rsidR="007B5BDD">
        <w:rPr>
          <w:lang w:val="en-GB"/>
        </w:rPr>
        <w:t>tudy tours</w:t>
      </w:r>
      <w:r w:rsidR="007E2AE0" w:rsidRPr="007E2AE0">
        <w:rPr>
          <w:lang w:val="en-GB"/>
        </w:rPr>
        <w:t xml:space="preserve"> </w:t>
      </w:r>
      <w:r w:rsidR="007E2AE0">
        <w:rPr>
          <w:lang w:val="en-GB"/>
        </w:rPr>
        <w:t xml:space="preserve">to India (for </w:t>
      </w:r>
      <w:r w:rsidR="007E2AE0" w:rsidRPr="007E2AE0">
        <w:rPr>
          <w:lang w:val="en-GB"/>
        </w:rPr>
        <w:t>seed production</w:t>
      </w:r>
      <w:r w:rsidR="007E2AE0">
        <w:rPr>
          <w:lang w:val="en-GB"/>
        </w:rPr>
        <w:t xml:space="preserve"> and</w:t>
      </w:r>
      <w:r w:rsidR="007E2AE0" w:rsidRPr="007E2AE0">
        <w:rPr>
          <w:lang w:val="en-GB"/>
        </w:rPr>
        <w:t xml:space="preserve"> microfinance), </w:t>
      </w:r>
      <w:r w:rsidR="00C511E6">
        <w:rPr>
          <w:lang w:val="en-GB"/>
        </w:rPr>
        <w:t>to</w:t>
      </w:r>
      <w:r w:rsidR="007E2AE0" w:rsidRPr="007E2AE0">
        <w:rPr>
          <w:lang w:val="en-GB"/>
        </w:rPr>
        <w:t xml:space="preserve"> Egypt, Ethiopia and Turkey</w:t>
      </w:r>
      <w:r w:rsidR="00C511E6">
        <w:rPr>
          <w:lang w:val="en-GB"/>
        </w:rPr>
        <w:t xml:space="preserve"> for documentation and M&amp;E training,</w:t>
      </w:r>
      <w:r w:rsidR="007E2AE0" w:rsidRPr="007E2AE0">
        <w:rPr>
          <w:lang w:val="en-GB"/>
        </w:rPr>
        <w:t xml:space="preserve"> as well as </w:t>
      </w:r>
      <w:r w:rsidR="00C511E6">
        <w:rPr>
          <w:lang w:val="en-GB"/>
        </w:rPr>
        <w:t>to a</w:t>
      </w:r>
      <w:r w:rsidR="007E2AE0" w:rsidRPr="007E2AE0">
        <w:rPr>
          <w:lang w:val="en-GB"/>
        </w:rPr>
        <w:t xml:space="preserve"> Learning Route on the </w:t>
      </w:r>
      <w:r w:rsidR="000D2D8C">
        <w:rPr>
          <w:lang w:val="en-GB"/>
        </w:rPr>
        <w:t>g</w:t>
      </w:r>
      <w:r w:rsidR="007E2AE0" w:rsidRPr="007E2AE0">
        <w:rPr>
          <w:lang w:val="en-GB"/>
        </w:rPr>
        <w:t>ender methodology</w:t>
      </w:r>
      <w:r w:rsidR="00923846">
        <w:rPr>
          <w:lang w:val="en-GB"/>
        </w:rPr>
        <w:t xml:space="preserve"> on the </w:t>
      </w:r>
      <w:r w:rsidR="00923846" w:rsidRPr="00923846">
        <w:t>Gender Action Learning System</w:t>
      </w:r>
      <w:r w:rsidR="007E2AE0" w:rsidRPr="007E2AE0">
        <w:rPr>
          <w:lang w:val="en-GB"/>
        </w:rPr>
        <w:t xml:space="preserve"> in Uganda.</w:t>
      </w:r>
      <w:r w:rsidR="00C511E6">
        <w:rPr>
          <w:rStyle w:val="FootnoteReference"/>
          <w:lang w:val="en-GB"/>
        </w:rPr>
        <w:footnoteReference w:id="43"/>
      </w:r>
      <w:r w:rsidR="007E2AE0" w:rsidRPr="007E2AE0">
        <w:rPr>
          <w:lang w:val="en-GB"/>
        </w:rPr>
        <w:t xml:space="preserve"> </w:t>
      </w:r>
    </w:p>
    <w:p w:rsidR="00245F4C" w:rsidRPr="00E5375E" w:rsidRDefault="00245F4C" w:rsidP="00765F7C">
      <w:pPr>
        <w:pStyle w:val="ListParagraph"/>
        <w:numPr>
          <w:ilvl w:val="0"/>
          <w:numId w:val="10"/>
        </w:numPr>
        <w:spacing w:after="120"/>
        <w:ind w:left="567" w:hanging="567"/>
        <w:contextualSpacing w:val="0"/>
      </w:pPr>
      <w:r>
        <w:t xml:space="preserve">The PCRV rates the performance of IFAD </w:t>
      </w:r>
      <w:r w:rsidRPr="007E2AE0">
        <w:rPr>
          <w:i/>
          <w:iCs/>
        </w:rPr>
        <w:t xml:space="preserve">satisfactory (5), </w:t>
      </w:r>
      <w:r>
        <w:t>in line with the PCR rating.</w:t>
      </w:r>
    </w:p>
    <w:p w:rsidR="00CC265D" w:rsidRDefault="00D93710" w:rsidP="00923846">
      <w:pPr>
        <w:pStyle w:val="ListParagraph"/>
        <w:numPr>
          <w:ilvl w:val="0"/>
          <w:numId w:val="10"/>
        </w:numPr>
        <w:spacing w:after="120"/>
        <w:ind w:left="567" w:hanging="567"/>
        <w:contextualSpacing w:val="0"/>
      </w:pPr>
      <w:r w:rsidRPr="00E5375E">
        <w:rPr>
          <w:b/>
          <w:bCs/>
        </w:rPr>
        <w:t>Government.</w:t>
      </w:r>
      <w:r>
        <w:t xml:space="preserve"> </w:t>
      </w:r>
      <w:r w:rsidR="00D62275" w:rsidRPr="00D62275">
        <w:t>The F</w:t>
      </w:r>
      <w:r w:rsidR="00D62275">
        <w:t xml:space="preserve">ederal </w:t>
      </w:r>
      <w:r w:rsidR="00D62275" w:rsidRPr="00D62275">
        <w:t>M</w:t>
      </w:r>
      <w:r w:rsidR="00D62275">
        <w:t xml:space="preserve">inistry of Agriculture and Forestry </w:t>
      </w:r>
      <w:r w:rsidR="00D62275" w:rsidRPr="00D62275">
        <w:t>and the Federal Ministry of Finance and Economic Planning constantly participated in supervision and implementation support missions.</w:t>
      </w:r>
      <w:r w:rsidR="004318DF" w:rsidRPr="004318DF">
        <w:rPr>
          <w:rFonts w:asciiTheme="minorBidi" w:eastAsia="Arial" w:hAnsiTheme="minorBidi" w:cstheme="minorBidi"/>
          <w:spacing w:val="3"/>
          <w:szCs w:val="22"/>
        </w:rPr>
        <w:t xml:space="preserve"> </w:t>
      </w:r>
      <w:r w:rsidR="004318DF" w:rsidRPr="004318DF">
        <w:t xml:space="preserve">The State Ministries of Agriculture in North and South </w:t>
      </w:r>
      <w:proofErr w:type="spellStart"/>
      <w:r w:rsidR="004318DF" w:rsidRPr="004318DF">
        <w:t>Kordofan</w:t>
      </w:r>
      <w:proofErr w:type="spellEnd"/>
      <w:r w:rsidR="004318DF">
        <w:t xml:space="preserve"> facilitated the </w:t>
      </w:r>
      <w:r w:rsidR="004318DF" w:rsidRPr="004318DF">
        <w:t xml:space="preserve">project implementation at state level through the deployment of </w:t>
      </w:r>
      <w:r w:rsidR="004318DF">
        <w:t xml:space="preserve">extension </w:t>
      </w:r>
      <w:r w:rsidR="004318DF" w:rsidRPr="004318DF">
        <w:t xml:space="preserve">staff and </w:t>
      </w:r>
      <w:r w:rsidR="004318DF">
        <w:t xml:space="preserve">the </w:t>
      </w:r>
      <w:r w:rsidR="004318DF" w:rsidRPr="004318DF">
        <w:t xml:space="preserve">provision of offices and residential facilities to the </w:t>
      </w:r>
      <w:proofErr w:type="spellStart"/>
      <w:r w:rsidR="004318DF">
        <w:t>outposted</w:t>
      </w:r>
      <w:proofErr w:type="spellEnd"/>
      <w:r w:rsidR="004318DF">
        <w:t xml:space="preserve"> staff of the </w:t>
      </w:r>
      <w:r w:rsidR="004318DF" w:rsidRPr="004318DF">
        <w:t>FSA.</w:t>
      </w:r>
      <w:r w:rsidR="00A11D68">
        <w:t xml:space="preserve"> </w:t>
      </w:r>
    </w:p>
    <w:p w:rsidR="00CC265D" w:rsidRDefault="000D2D8C" w:rsidP="00CE568F">
      <w:pPr>
        <w:pStyle w:val="ListParagraph"/>
        <w:numPr>
          <w:ilvl w:val="0"/>
          <w:numId w:val="10"/>
        </w:numPr>
        <w:spacing w:after="120"/>
        <w:ind w:left="567" w:hanging="567"/>
        <w:contextualSpacing w:val="0"/>
      </w:pPr>
      <w:r>
        <w:t>However, t</w:t>
      </w:r>
      <w:r w:rsidR="00A11D68">
        <w:t xml:space="preserve">he Government was less proactive in terms of ratifying the Seed </w:t>
      </w:r>
      <w:r>
        <w:t>L</w:t>
      </w:r>
      <w:r w:rsidR="00A11D68">
        <w:t xml:space="preserve">aw and the </w:t>
      </w:r>
      <w:r w:rsidR="00A11D68" w:rsidRPr="00CC265D">
        <w:rPr>
          <w:lang w:val="en-GB"/>
        </w:rPr>
        <w:t xml:space="preserve">new Plant </w:t>
      </w:r>
      <w:r w:rsidRPr="00CC265D">
        <w:rPr>
          <w:lang w:val="en-GB"/>
        </w:rPr>
        <w:t>V</w:t>
      </w:r>
      <w:r w:rsidR="00A11D68" w:rsidRPr="00CC265D">
        <w:rPr>
          <w:lang w:val="en-GB"/>
        </w:rPr>
        <w:t xml:space="preserve">ariety </w:t>
      </w:r>
      <w:r w:rsidRPr="00CC265D">
        <w:rPr>
          <w:lang w:val="en-GB"/>
        </w:rPr>
        <w:t>P</w:t>
      </w:r>
      <w:r w:rsidR="00A11D68" w:rsidRPr="00CC265D">
        <w:rPr>
          <w:lang w:val="en-GB"/>
        </w:rPr>
        <w:t xml:space="preserve">rotection </w:t>
      </w:r>
      <w:r w:rsidRPr="00CC265D">
        <w:rPr>
          <w:lang w:val="en-GB"/>
        </w:rPr>
        <w:t>L</w:t>
      </w:r>
      <w:r w:rsidR="00A11D68" w:rsidRPr="00CC265D">
        <w:rPr>
          <w:lang w:val="en-GB"/>
        </w:rPr>
        <w:t>aw</w:t>
      </w:r>
      <w:r w:rsidR="00351BBB" w:rsidRPr="00CC265D">
        <w:rPr>
          <w:lang w:val="en-GB"/>
        </w:rPr>
        <w:t>.</w:t>
      </w:r>
      <w:r w:rsidR="00CC265D" w:rsidRPr="00CC265D">
        <w:rPr>
          <w:lang w:val="en-GB"/>
        </w:rPr>
        <w:t xml:space="preserve"> </w:t>
      </w:r>
      <w:r w:rsidR="00CC265D">
        <w:rPr>
          <w:lang w:val="en-US"/>
        </w:rPr>
        <w:t>While it</w:t>
      </w:r>
      <w:r w:rsidR="00CC265D" w:rsidRPr="00CC265D">
        <w:rPr>
          <w:lang w:val="en-US"/>
        </w:rPr>
        <w:t xml:space="preserve"> contributed</w:t>
      </w:r>
      <w:r w:rsidR="00CC265D">
        <w:t xml:space="preserve"> 28.6 per cent of the planned amount, the PCR and supervision reports observed that it did not provide the project with </w:t>
      </w:r>
      <w:r w:rsidR="00CC265D" w:rsidRPr="00CC265D">
        <w:rPr>
          <w:lang w:val="en-US"/>
        </w:rPr>
        <w:t>the related data</w:t>
      </w:r>
      <w:r w:rsidR="00CC265D">
        <w:t xml:space="preserve"> making it difficult </w:t>
      </w:r>
      <w:r w:rsidR="00CC265D" w:rsidRPr="00CC265D">
        <w:rPr>
          <w:lang w:val="en-US"/>
        </w:rPr>
        <w:t xml:space="preserve">to account its actual contribution and it is likely that the available data underestimated this contribution. </w:t>
      </w:r>
    </w:p>
    <w:p w:rsidR="002F106E" w:rsidRDefault="00A02489" w:rsidP="00754707">
      <w:pPr>
        <w:pStyle w:val="ListParagraph"/>
        <w:numPr>
          <w:ilvl w:val="0"/>
          <w:numId w:val="10"/>
        </w:numPr>
        <w:spacing w:after="120"/>
        <w:ind w:left="567" w:hanging="567"/>
        <w:contextualSpacing w:val="0"/>
      </w:pPr>
      <w:r>
        <w:t xml:space="preserve">The </w:t>
      </w:r>
      <w:r w:rsidR="002448D2">
        <w:t xml:space="preserve">PCU </w:t>
      </w:r>
      <w:proofErr w:type="gramStart"/>
      <w:r w:rsidR="002448D2">
        <w:t>was mandated</w:t>
      </w:r>
      <w:proofErr w:type="gramEnd"/>
      <w:r w:rsidR="002448D2">
        <w:t xml:space="preserve"> with </w:t>
      </w:r>
      <w:r w:rsidR="0079747D">
        <w:t>a big load of tasks</w:t>
      </w:r>
      <w:r w:rsidR="002F106E">
        <w:t xml:space="preserve"> in the first years of the project</w:t>
      </w:r>
      <w:r w:rsidR="00A11D68">
        <w:t xml:space="preserve"> including the</w:t>
      </w:r>
      <w:r w:rsidR="007A2EC2">
        <w:t xml:space="preserve"> implementation </w:t>
      </w:r>
      <w:r w:rsidR="002F106E">
        <w:t xml:space="preserve">of </w:t>
      </w:r>
      <w:r w:rsidR="002448D2">
        <w:t>WSRMP</w:t>
      </w:r>
      <w:r w:rsidR="002F106E">
        <w:t xml:space="preserve"> that</w:t>
      </w:r>
      <w:r w:rsidR="00A11D68">
        <w:t xml:space="preserve"> was</w:t>
      </w:r>
      <w:r w:rsidR="00962B4C">
        <w:t xml:space="preserve"> </w:t>
      </w:r>
      <w:r w:rsidR="00A11D68">
        <w:t>expected</w:t>
      </w:r>
      <w:r w:rsidR="00962B4C">
        <w:t xml:space="preserve"> to end in 2014 but was extended for another two years. In addition</w:t>
      </w:r>
      <w:r w:rsidR="00B93A33">
        <w:t>,</w:t>
      </w:r>
      <w:r w:rsidR="00962B4C">
        <w:t xml:space="preserve"> the PCU was responsible </w:t>
      </w:r>
      <w:r w:rsidR="007A2EC2">
        <w:t>for</w:t>
      </w:r>
      <w:r w:rsidR="00962B4C">
        <w:t xml:space="preserve"> the </w:t>
      </w:r>
      <w:r w:rsidR="002448D2">
        <w:t>impl</w:t>
      </w:r>
      <w:r w:rsidR="00B62652">
        <w:t>eme</w:t>
      </w:r>
      <w:r w:rsidR="002448D2">
        <w:t xml:space="preserve">ntation of </w:t>
      </w:r>
      <w:r w:rsidR="00962B4C" w:rsidRPr="002F106E">
        <w:rPr>
          <w:lang w:val="en-GB"/>
        </w:rPr>
        <w:t>the grant "Scaling up the Agricultural Bank of Sudan Microfinance Initiative</w:t>
      </w:r>
      <w:r w:rsidR="00962B4C" w:rsidRPr="00962B4C">
        <w:t xml:space="preserve"> </w:t>
      </w:r>
      <w:r w:rsidR="002448D2">
        <w:t>ABSUMI</w:t>
      </w:r>
      <w:r w:rsidR="00962B4C">
        <w:t>"</w:t>
      </w:r>
      <w:r w:rsidR="002448D2">
        <w:t>.</w:t>
      </w:r>
      <w:r w:rsidR="002F106E">
        <w:t xml:space="preserve"> </w:t>
      </w:r>
      <w:r w:rsidR="00D62275">
        <w:t xml:space="preserve">Despite this overload, </w:t>
      </w:r>
      <w:r w:rsidR="002F106E">
        <w:t>supervision missions commended the</w:t>
      </w:r>
      <w:r w:rsidR="00D62275">
        <w:t xml:space="preserve"> project management</w:t>
      </w:r>
      <w:r w:rsidR="002F106E">
        <w:t xml:space="preserve"> team</w:t>
      </w:r>
      <w:r w:rsidR="00D62275">
        <w:t>, including the extension teams for actively adjusting the implementation of the project.</w:t>
      </w:r>
      <w:r w:rsidR="002F106E">
        <w:t xml:space="preserve"> On the other hand, the M&amp;E system presented weaknesses that </w:t>
      </w:r>
      <w:proofErr w:type="gramStart"/>
      <w:r w:rsidR="002F106E">
        <w:t xml:space="preserve">were </w:t>
      </w:r>
      <w:r w:rsidR="007B017E">
        <w:t xml:space="preserve">repeatedly </w:t>
      </w:r>
      <w:r w:rsidR="002F106E">
        <w:t>highlighted</w:t>
      </w:r>
      <w:proofErr w:type="gramEnd"/>
      <w:r w:rsidR="002F106E">
        <w:t xml:space="preserve"> by supervision missions. </w:t>
      </w:r>
      <w:r w:rsidR="0022205A">
        <w:t>The 2017 supervision mission report noted that n</w:t>
      </w:r>
      <w:r w:rsidR="002F106E">
        <w:t xml:space="preserve">ecessary actions </w:t>
      </w:r>
      <w:proofErr w:type="gramStart"/>
      <w:r w:rsidR="002F106E">
        <w:t>were taken</w:t>
      </w:r>
      <w:proofErr w:type="gramEnd"/>
      <w:r w:rsidR="002F106E">
        <w:t xml:space="preserve"> during the last year of implementation</w:t>
      </w:r>
      <w:r w:rsidR="0022205A">
        <w:t>,</w:t>
      </w:r>
      <w:r w:rsidR="00537A87">
        <w:rPr>
          <w:rStyle w:val="FootnoteReference"/>
        </w:rPr>
        <w:footnoteReference w:id="44"/>
      </w:r>
      <w:r w:rsidR="00754707">
        <w:t xml:space="preserve"> but this obviously did not solve the problem with the availability and accuracy of data.  </w:t>
      </w:r>
    </w:p>
    <w:p w:rsidR="00D62275" w:rsidRPr="00A11D68" w:rsidRDefault="00D62275" w:rsidP="00BC7CB3">
      <w:pPr>
        <w:pStyle w:val="ListParagraph"/>
        <w:numPr>
          <w:ilvl w:val="0"/>
          <w:numId w:val="10"/>
        </w:numPr>
        <w:spacing w:after="120"/>
        <w:ind w:left="567" w:hanging="567"/>
        <w:contextualSpacing w:val="0"/>
        <w:rPr>
          <w:rFonts w:asciiTheme="minorBidi" w:hAnsiTheme="minorBidi" w:cstheme="minorBidi"/>
        </w:rPr>
      </w:pPr>
      <w:r w:rsidRPr="00A11D68">
        <w:t xml:space="preserve">The PCRV rating for the performance of the </w:t>
      </w:r>
      <w:r w:rsidR="00A11D68" w:rsidRPr="00A11D68">
        <w:t>Government</w:t>
      </w:r>
      <w:r w:rsidRPr="00A11D68">
        <w:t xml:space="preserve"> is </w:t>
      </w:r>
      <w:r w:rsidR="00CC265D">
        <w:rPr>
          <w:i/>
          <w:iCs/>
        </w:rPr>
        <w:t>m</w:t>
      </w:r>
      <w:r w:rsidR="00BC7CB3">
        <w:rPr>
          <w:i/>
          <w:iCs/>
        </w:rPr>
        <w:t>oderately</w:t>
      </w:r>
      <w:r w:rsidR="00CC265D">
        <w:rPr>
          <w:i/>
          <w:iCs/>
        </w:rPr>
        <w:t xml:space="preserve"> </w:t>
      </w:r>
      <w:r w:rsidR="00A11D68">
        <w:rPr>
          <w:i/>
          <w:iCs/>
        </w:rPr>
        <w:t>satisfactory (</w:t>
      </w:r>
      <w:r w:rsidR="00CC265D">
        <w:rPr>
          <w:i/>
          <w:iCs/>
        </w:rPr>
        <w:t>4</w:t>
      </w:r>
      <w:r w:rsidR="00A11D68">
        <w:rPr>
          <w:i/>
          <w:iCs/>
        </w:rPr>
        <w:t xml:space="preserve">), </w:t>
      </w:r>
      <w:r w:rsidR="00CC265D">
        <w:t xml:space="preserve">one </w:t>
      </w:r>
      <w:r w:rsidR="00BC7CB3">
        <w:t>point</w:t>
      </w:r>
      <w:r w:rsidR="00CC265D">
        <w:t xml:space="preserve"> below</w:t>
      </w:r>
      <w:r w:rsidR="00A11D68">
        <w:t xml:space="preserve"> the PCR rating</w:t>
      </w:r>
      <w:r w:rsidR="00765F7C">
        <w:t>.</w:t>
      </w:r>
    </w:p>
    <w:p w:rsidR="002639D7" w:rsidRDefault="007F2A98" w:rsidP="00765F7C">
      <w:pPr>
        <w:pStyle w:val="Heading1"/>
        <w:tabs>
          <w:tab w:val="clear" w:pos="278"/>
          <w:tab w:val="num" w:pos="567"/>
        </w:tabs>
        <w:ind w:left="567" w:hanging="425"/>
        <w:jc w:val="both"/>
      </w:pPr>
      <w:r>
        <w:t>Assessment of PCR quality</w:t>
      </w:r>
    </w:p>
    <w:p w:rsidR="002C19B8" w:rsidRPr="00082A59" w:rsidRDefault="002C19B8" w:rsidP="00A11D68">
      <w:pPr>
        <w:pStyle w:val="ListParagraph"/>
        <w:spacing w:after="40"/>
        <w:ind w:left="567"/>
        <w:contextualSpacing w:val="0"/>
        <w:jc w:val="both"/>
        <w:rPr>
          <w:b/>
          <w:bCs/>
          <w:sz w:val="22"/>
          <w:szCs w:val="22"/>
        </w:rPr>
      </w:pPr>
      <w:r>
        <w:rPr>
          <w:b/>
          <w:bCs/>
          <w:sz w:val="22"/>
          <w:szCs w:val="22"/>
        </w:rPr>
        <w:t>Scope</w:t>
      </w:r>
    </w:p>
    <w:p w:rsidR="00F20AFE" w:rsidRDefault="00F20AFE" w:rsidP="0030049B">
      <w:pPr>
        <w:numPr>
          <w:ilvl w:val="0"/>
          <w:numId w:val="10"/>
        </w:numPr>
        <w:spacing w:after="120"/>
        <w:ind w:left="567" w:hanging="567"/>
      </w:pPr>
      <w:r>
        <w:t xml:space="preserve">The PCR covered all sections and annexes as per the guidelines for </w:t>
      </w:r>
      <w:r w:rsidR="00844241">
        <w:t>p</w:t>
      </w:r>
      <w:r>
        <w:t xml:space="preserve">roject </w:t>
      </w:r>
      <w:r w:rsidR="00844241">
        <w:t>c</w:t>
      </w:r>
      <w:r>
        <w:t xml:space="preserve">ompletion </w:t>
      </w:r>
      <w:r w:rsidR="00844241">
        <w:t>r</w:t>
      </w:r>
      <w:r>
        <w:t>eview (201</w:t>
      </w:r>
      <w:r w:rsidR="00844241">
        <w:t>5</w:t>
      </w:r>
      <w:r>
        <w:t>)</w:t>
      </w:r>
      <w:r w:rsidR="0030049B">
        <w:t xml:space="preserve">. </w:t>
      </w:r>
      <w:r w:rsidR="007146E5">
        <w:t>Some sections could have benefited from more elaboration (e.g</w:t>
      </w:r>
      <w:r w:rsidR="00055D24">
        <w:t>.,</w:t>
      </w:r>
      <w:r w:rsidR="007146E5">
        <w:t xml:space="preserve"> outcomes, sustainability)</w:t>
      </w:r>
      <w:r>
        <w:t xml:space="preserve">. The PCRV rating for </w:t>
      </w:r>
      <w:r w:rsidRPr="00CC7613">
        <w:t xml:space="preserve">Scope </w:t>
      </w:r>
      <w:proofErr w:type="gramStart"/>
      <w:r w:rsidRPr="00CC7613">
        <w:t>is</w:t>
      </w:r>
      <w:r>
        <w:t xml:space="preserve"> rated</w:t>
      </w:r>
      <w:proofErr w:type="gramEnd"/>
      <w:r w:rsidRPr="00CC7613">
        <w:rPr>
          <w:i/>
          <w:iCs/>
        </w:rPr>
        <w:t xml:space="preserve"> moderately satisfactory (4)</w:t>
      </w:r>
      <w:r w:rsidR="00803426">
        <w:rPr>
          <w:i/>
          <w:iCs/>
        </w:rPr>
        <w:t>.</w:t>
      </w:r>
    </w:p>
    <w:p w:rsidR="002C19B8" w:rsidRPr="00082A59" w:rsidRDefault="002C19B8" w:rsidP="00844241">
      <w:pPr>
        <w:pStyle w:val="ListParagraph"/>
        <w:spacing w:after="40"/>
        <w:ind w:left="567"/>
        <w:contextualSpacing w:val="0"/>
        <w:rPr>
          <w:b/>
          <w:bCs/>
          <w:sz w:val="22"/>
          <w:szCs w:val="22"/>
        </w:rPr>
      </w:pPr>
      <w:r>
        <w:rPr>
          <w:b/>
          <w:bCs/>
          <w:sz w:val="22"/>
          <w:szCs w:val="22"/>
        </w:rPr>
        <w:t>Quality</w:t>
      </w:r>
    </w:p>
    <w:p w:rsidR="00437515" w:rsidRPr="001B35D2" w:rsidRDefault="00F20AFE" w:rsidP="00BE4E6D">
      <w:pPr>
        <w:pStyle w:val="ListParagraph"/>
        <w:numPr>
          <w:ilvl w:val="0"/>
          <w:numId w:val="10"/>
        </w:numPr>
        <w:spacing w:after="120"/>
        <w:ind w:left="567" w:hanging="567"/>
        <w:contextualSpacing w:val="0"/>
      </w:pPr>
      <w:r w:rsidRPr="00901498">
        <w:t xml:space="preserve">The report in general </w:t>
      </w:r>
      <w:proofErr w:type="gramStart"/>
      <w:r w:rsidRPr="00901498">
        <w:t>was more focused</w:t>
      </w:r>
      <w:proofErr w:type="gramEnd"/>
      <w:r w:rsidRPr="00901498">
        <w:t xml:space="preserve"> on the outputs and less on the analysis of outcomes. </w:t>
      </w:r>
      <w:r w:rsidR="007B017E">
        <w:t xml:space="preserve">Many sections were descriptive rather than analytical. </w:t>
      </w:r>
      <w:r w:rsidR="001B35D2" w:rsidRPr="00901498">
        <w:t xml:space="preserve">Quantitative evidence provided in support of statements made was quite limited and </w:t>
      </w:r>
      <w:r w:rsidR="001B35D2">
        <w:t>did</w:t>
      </w:r>
      <w:r w:rsidR="001B35D2" w:rsidRPr="00901498">
        <w:t xml:space="preserve"> not always </w:t>
      </w:r>
      <w:r w:rsidR="001B35D2">
        <w:t>seem reliable</w:t>
      </w:r>
      <w:r w:rsidR="007B017E">
        <w:t xml:space="preserve"> </w:t>
      </w:r>
      <w:r w:rsidR="001B35D2">
        <w:t>and solid enough</w:t>
      </w:r>
      <w:r w:rsidR="007B017E">
        <w:t xml:space="preserve"> to justify the rating</w:t>
      </w:r>
      <w:r w:rsidR="001B35D2">
        <w:t>s</w:t>
      </w:r>
      <w:r w:rsidR="007B017E">
        <w:t xml:space="preserve"> provided by PMD. Given</w:t>
      </w:r>
      <w:r w:rsidR="001B35D2">
        <w:t xml:space="preserve"> the lack of sufficient data and in the absence of a f</w:t>
      </w:r>
      <w:r w:rsidR="007B017E">
        <w:t>inal impact assessment, the PCR</w:t>
      </w:r>
      <w:r w:rsidR="001B35D2">
        <w:t xml:space="preserve"> based</w:t>
      </w:r>
      <w:r w:rsidR="007B017E">
        <w:t xml:space="preserve"> some of its findings on mission observations and discussions with </w:t>
      </w:r>
      <w:r w:rsidR="001B35D2">
        <w:t>beneficiaries</w:t>
      </w:r>
      <w:r w:rsidR="007B017E">
        <w:t>.</w:t>
      </w:r>
      <w:r>
        <w:t xml:space="preserve"> </w:t>
      </w:r>
      <w:r w:rsidR="00FE09AD">
        <w:t>The PCR</w:t>
      </w:r>
      <w:r w:rsidR="008D5DF4">
        <w:t>V</w:t>
      </w:r>
      <w:r w:rsidR="00FE09AD">
        <w:t xml:space="preserve"> rates </w:t>
      </w:r>
      <w:r w:rsidR="00437515">
        <w:t xml:space="preserve">Quality </w:t>
      </w:r>
      <w:r w:rsidR="007B017E" w:rsidRPr="001B35D2">
        <w:rPr>
          <w:i/>
          <w:iCs/>
        </w:rPr>
        <w:t>moderately unsatisfactory (3)</w:t>
      </w:r>
      <w:r w:rsidR="001B35D2" w:rsidRPr="001B35D2">
        <w:rPr>
          <w:i/>
          <w:iCs/>
        </w:rPr>
        <w:t>.</w:t>
      </w:r>
    </w:p>
    <w:p w:rsidR="002C19B8" w:rsidRPr="00477F43" w:rsidRDefault="002C19B8" w:rsidP="00844241">
      <w:pPr>
        <w:pStyle w:val="ListParagraph"/>
        <w:spacing w:after="40"/>
        <w:ind w:left="567"/>
        <w:contextualSpacing w:val="0"/>
        <w:rPr>
          <w:b/>
          <w:bCs/>
          <w:sz w:val="22"/>
          <w:szCs w:val="22"/>
        </w:rPr>
      </w:pPr>
      <w:r w:rsidRPr="00477F43">
        <w:rPr>
          <w:b/>
          <w:bCs/>
          <w:sz w:val="22"/>
          <w:szCs w:val="22"/>
        </w:rPr>
        <w:t>Lessons</w:t>
      </w:r>
    </w:p>
    <w:p w:rsidR="009D20C6" w:rsidRPr="001B35D2" w:rsidRDefault="00600653" w:rsidP="00844241">
      <w:pPr>
        <w:pStyle w:val="ListParagraph"/>
        <w:numPr>
          <w:ilvl w:val="0"/>
          <w:numId w:val="10"/>
        </w:numPr>
        <w:spacing w:after="120"/>
        <w:ind w:left="567" w:hanging="567"/>
        <w:contextualSpacing w:val="0"/>
      </w:pPr>
      <w:r w:rsidRPr="00600653">
        <w:t xml:space="preserve">The PCR identified a number of </w:t>
      </w:r>
      <w:r w:rsidR="00D84674">
        <w:t xml:space="preserve">relevant </w:t>
      </w:r>
      <w:r w:rsidRPr="00600653">
        <w:t>lessons</w:t>
      </w:r>
      <w:r w:rsidR="00D84674">
        <w:t xml:space="preserve">, congruent with the </w:t>
      </w:r>
      <w:r w:rsidR="00C92BA0">
        <w:t>results of the project.</w:t>
      </w:r>
      <w:r w:rsidR="009D20C6">
        <w:t xml:space="preserve"> Lessons </w:t>
      </w:r>
      <w:proofErr w:type="gramStart"/>
      <w:r w:rsidR="009D20C6">
        <w:t>is rated</w:t>
      </w:r>
      <w:proofErr w:type="gramEnd"/>
      <w:r w:rsidR="009D20C6" w:rsidRPr="00437515">
        <w:rPr>
          <w:i/>
          <w:iCs/>
        </w:rPr>
        <w:t xml:space="preserve"> moderately satisfactory (4)</w:t>
      </w:r>
      <w:r w:rsidR="00803426">
        <w:rPr>
          <w:i/>
          <w:iCs/>
        </w:rPr>
        <w:t>.</w:t>
      </w:r>
    </w:p>
    <w:p w:rsidR="00082A59" w:rsidRPr="00082A59" w:rsidRDefault="00086E4E" w:rsidP="00844241">
      <w:pPr>
        <w:pStyle w:val="ListParagraph"/>
        <w:spacing w:after="40"/>
        <w:ind w:left="567"/>
        <w:contextualSpacing w:val="0"/>
        <w:rPr>
          <w:b/>
          <w:bCs/>
          <w:sz w:val="22"/>
          <w:szCs w:val="22"/>
        </w:rPr>
      </w:pPr>
      <w:r>
        <w:rPr>
          <w:b/>
          <w:bCs/>
          <w:sz w:val="22"/>
          <w:szCs w:val="22"/>
        </w:rPr>
        <w:t>Candour</w:t>
      </w:r>
    </w:p>
    <w:p w:rsidR="001B35D2" w:rsidRPr="001B35D2" w:rsidRDefault="003D3123" w:rsidP="00765F7C">
      <w:pPr>
        <w:pStyle w:val="ListParagraph"/>
        <w:numPr>
          <w:ilvl w:val="0"/>
          <w:numId w:val="10"/>
        </w:numPr>
        <w:spacing w:after="120"/>
        <w:ind w:left="567" w:hanging="567"/>
        <w:contextualSpacing w:val="0"/>
      </w:pPr>
      <w:r>
        <w:t xml:space="preserve">The narrative of the PCR and the ratings are positive, yet the report is not evidence based and is missing data on major aspects. </w:t>
      </w:r>
      <w:r w:rsidR="007D3C35">
        <w:t xml:space="preserve">Impact on rural poverty was rated </w:t>
      </w:r>
      <w:proofErr w:type="gramStart"/>
      <w:r w:rsidR="007D3C35">
        <w:t>5</w:t>
      </w:r>
      <w:proofErr w:type="gramEnd"/>
      <w:r w:rsidR="00765F7C">
        <w:t>,</w:t>
      </w:r>
      <w:r w:rsidR="007D3C35">
        <w:t xml:space="preserve"> yet, no sufficient evidence was provided in support of this rating. </w:t>
      </w:r>
      <w:r w:rsidR="00437515">
        <w:t xml:space="preserve">Candour </w:t>
      </w:r>
      <w:proofErr w:type="gramStart"/>
      <w:r w:rsidR="00437515">
        <w:t>is rated</w:t>
      </w:r>
      <w:proofErr w:type="gramEnd"/>
      <w:r w:rsidR="00437515" w:rsidRPr="00437515">
        <w:rPr>
          <w:i/>
          <w:iCs/>
        </w:rPr>
        <w:t xml:space="preserve"> moderately satisfactory (4)</w:t>
      </w:r>
      <w:r w:rsidR="00803426">
        <w:rPr>
          <w:i/>
          <w:iCs/>
        </w:rPr>
        <w:t>.</w:t>
      </w:r>
    </w:p>
    <w:p w:rsidR="00D84674" w:rsidRDefault="001B35D2" w:rsidP="00844241">
      <w:pPr>
        <w:pStyle w:val="ListParagraph"/>
        <w:numPr>
          <w:ilvl w:val="0"/>
          <w:numId w:val="10"/>
        </w:numPr>
        <w:spacing w:after="120"/>
        <w:ind w:left="567" w:hanging="567"/>
        <w:contextualSpacing w:val="0"/>
      </w:pPr>
      <w:r>
        <w:rPr>
          <w:b/>
          <w:bCs/>
        </w:rPr>
        <w:t xml:space="preserve">Overall. </w:t>
      </w:r>
      <w:r w:rsidRPr="00C63F23">
        <w:t xml:space="preserve">Overall PCR quality </w:t>
      </w:r>
      <w:proofErr w:type="gramStart"/>
      <w:r w:rsidRPr="00C63F23">
        <w:t>is rated</w:t>
      </w:r>
      <w:proofErr w:type="gramEnd"/>
      <w:r w:rsidRPr="00C63F23">
        <w:t xml:space="preserve"> as </w:t>
      </w:r>
      <w:r w:rsidRPr="00141DFB">
        <w:rPr>
          <w:i/>
          <w:iCs/>
        </w:rPr>
        <w:t>moderately satisfactory (4)</w:t>
      </w:r>
      <w:r w:rsidR="00803426">
        <w:rPr>
          <w:i/>
          <w:iCs/>
        </w:rPr>
        <w:t>.</w:t>
      </w:r>
    </w:p>
    <w:p w:rsidR="002639D7" w:rsidRDefault="00CB2352" w:rsidP="00765F7C">
      <w:pPr>
        <w:pStyle w:val="Heading1"/>
        <w:tabs>
          <w:tab w:val="clear" w:pos="278"/>
          <w:tab w:val="num" w:pos="709"/>
        </w:tabs>
        <w:ind w:left="567" w:hanging="425"/>
        <w:jc w:val="both"/>
      </w:pPr>
      <w:r>
        <w:t>L</w:t>
      </w:r>
      <w:r w:rsidR="004139C4">
        <w:t>essons learned</w:t>
      </w:r>
    </w:p>
    <w:p w:rsidR="00C92BA0" w:rsidRDefault="00C92BA0" w:rsidP="00C92BA0">
      <w:pPr>
        <w:pStyle w:val="BodyText"/>
        <w:numPr>
          <w:ilvl w:val="0"/>
          <w:numId w:val="10"/>
        </w:numPr>
        <w:ind w:left="567" w:hanging="567"/>
      </w:pPr>
      <w:r w:rsidRPr="00C92BA0">
        <w:t>Creation of economies of scale. Private companies would invest in marketing inputs and services targeted for smallholders, when convinced that these farmers are a significant market.</w:t>
      </w:r>
    </w:p>
    <w:p w:rsidR="002C19B8" w:rsidRPr="00AD4829" w:rsidRDefault="00C92BA0" w:rsidP="00FB7B7F">
      <w:pPr>
        <w:pStyle w:val="BodyText"/>
        <w:numPr>
          <w:ilvl w:val="0"/>
          <w:numId w:val="10"/>
        </w:numPr>
        <w:ind w:left="567" w:hanging="567"/>
      </w:pPr>
      <w:r w:rsidRPr="00C92BA0">
        <w:t xml:space="preserve">Value chain approach is the most appropriate approach for sustainable development of the seeds industry. </w:t>
      </w:r>
      <w:r>
        <w:t>A</w:t>
      </w:r>
      <w:r w:rsidRPr="00C92BA0">
        <w:t xml:space="preserve"> flexible demand-driven comprehensive partnership between seed growers (smallholder farmers), </w:t>
      </w:r>
      <w:r w:rsidR="00FB7B7F">
        <w:t>PSCs</w:t>
      </w:r>
      <w:r w:rsidRPr="00C92BA0">
        <w:t xml:space="preserve"> and input and service suppliers proved more feasible and sustainable.</w:t>
      </w:r>
    </w:p>
    <w:p w:rsidR="00D86788" w:rsidRDefault="00D86788" w:rsidP="00600653">
      <w:pPr>
        <w:spacing w:after="120"/>
        <w:jc w:val="both"/>
        <w:sectPr w:rsidR="00D86788" w:rsidSect="001C68F6">
          <w:headerReference w:type="default" r:id="rId11"/>
          <w:footerReference w:type="default" r:id="rId12"/>
          <w:headerReference w:type="first" r:id="rId13"/>
          <w:pgSz w:w="11909" w:h="16834" w:code="9"/>
          <w:pgMar w:top="1440" w:right="1440" w:bottom="1440" w:left="1440" w:header="720" w:footer="720" w:gutter="0"/>
          <w:cols w:space="720"/>
          <w:titlePg/>
          <w:docGrid w:linePitch="272"/>
        </w:sectPr>
      </w:pPr>
    </w:p>
    <w:p w:rsidR="004139C4" w:rsidRDefault="004139C4" w:rsidP="00A11D68">
      <w:pPr>
        <w:pStyle w:val="Annex"/>
        <w:jc w:val="both"/>
        <w:rPr>
          <w:lang w:val="en-GB"/>
        </w:rPr>
      </w:pPr>
      <w:bookmarkStart w:id="13" w:name="_Toc323554733"/>
      <w:bookmarkStart w:id="14" w:name="_Toc323556869"/>
      <w:bookmarkStart w:id="15" w:name="_Toc338850175"/>
      <w:bookmarkStart w:id="16" w:name="_Toc442570206"/>
      <w:r>
        <w:rPr>
          <w:lang w:val="en-GB"/>
        </w:rPr>
        <w:t xml:space="preserve">Definition and rating of the </w:t>
      </w:r>
      <w:r w:rsidRPr="00BB732A">
        <w:t>evaluation</w:t>
      </w:r>
      <w:r>
        <w:rPr>
          <w:lang w:val="en-GB"/>
        </w:rPr>
        <w:t xml:space="preserve"> criteria used by IOE</w:t>
      </w:r>
      <w:bookmarkEnd w:id="13"/>
      <w:bookmarkEnd w:id="14"/>
      <w:bookmarkEnd w:id="15"/>
      <w:bookmarkEnd w:id="16"/>
    </w:p>
    <w:tbl>
      <w:tblPr>
        <w:tblStyle w:val="IOETable"/>
        <w:tblW w:w="9497" w:type="dxa"/>
        <w:tblInd w:w="0" w:type="dxa"/>
        <w:tblLook w:val="01E0" w:firstRow="1" w:lastRow="1" w:firstColumn="1" w:lastColumn="1" w:noHBand="0" w:noVBand="0"/>
      </w:tblPr>
      <w:tblGrid>
        <w:gridCol w:w="1985"/>
        <w:gridCol w:w="5528"/>
        <w:gridCol w:w="992"/>
        <w:gridCol w:w="992"/>
      </w:tblGrid>
      <w:tr w:rsidR="004139C4" w:rsidRPr="00AA5430" w:rsidTr="009051FE">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1985" w:type="dxa"/>
          </w:tcPr>
          <w:p w:rsidR="004139C4" w:rsidRPr="00E90501" w:rsidRDefault="004139C4" w:rsidP="00765F7C">
            <w:pPr>
              <w:tabs>
                <w:tab w:val="left" w:pos="540"/>
              </w:tabs>
              <w:spacing w:after="0"/>
              <w:rPr>
                <w:rFonts w:asciiTheme="minorBidi" w:hAnsiTheme="minorBidi" w:cstheme="minorBidi"/>
                <w:i w:val="0"/>
                <w:iCs w:val="0"/>
              </w:rPr>
            </w:pPr>
            <w:r w:rsidRPr="00E90501">
              <w:rPr>
                <w:rFonts w:asciiTheme="minorBidi" w:hAnsiTheme="minorBidi"/>
              </w:rPr>
              <w:t>Criteria</w:t>
            </w:r>
          </w:p>
        </w:tc>
        <w:tc>
          <w:tcPr>
            <w:tcW w:w="5528" w:type="dxa"/>
          </w:tcPr>
          <w:p w:rsidR="004139C4" w:rsidRPr="00E90501" w:rsidRDefault="004139C4" w:rsidP="00765F7C">
            <w:pPr>
              <w:tabs>
                <w:tab w:val="left" w:pos="540"/>
              </w:tabs>
              <w:spacing w:before="40" w:after="0"/>
              <w:jc w:val="lef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val="0"/>
                <w:iCs w:val="0"/>
              </w:rPr>
            </w:pPr>
            <w:r w:rsidRPr="00E90501">
              <w:rPr>
                <w:rFonts w:asciiTheme="minorBidi" w:hAnsiTheme="minorBidi"/>
              </w:rPr>
              <w:t xml:space="preserve">Definition </w:t>
            </w:r>
            <w:r w:rsidRPr="00990122">
              <w:rPr>
                <w:rFonts w:asciiTheme="minorBidi" w:hAnsiTheme="minorBidi"/>
                <w:sz w:val="20"/>
                <w:szCs w:val="20"/>
                <w:vertAlign w:val="superscript"/>
              </w:rPr>
              <w:t>*</w:t>
            </w:r>
          </w:p>
        </w:tc>
        <w:tc>
          <w:tcPr>
            <w:tcW w:w="992" w:type="dxa"/>
            <w:vAlign w:val="center"/>
          </w:tcPr>
          <w:p w:rsidR="004139C4" w:rsidRPr="00AA5430" w:rsidRDefault="004139C4" w:rsidP="00A11D68">
            <w:pPr>
              <w:tabs>
                <w:tab w:val="left" w:pos="540"/>
              </w:tabs>
              <w:spacing w:before="40" w:after="0"/>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val="0"/>
                <w:iCs w:val="0"/>
              </w:rPr>
            </w:pPr>
            <w:r w:rsidRPr="00AA5430">
              <w:rPr>
                <w:rFonts w:asciiTheme="minorBidi" w:hAnsiTheme="minorBidi" w:cstheme="minorBidi"/>
              </w:rPr>
              <w:t>Mandatory</w:t>
            </w:r>
          </w:p>
        </w:tc>
        <w:tc>
          <w:tcPr>
            <w:tcW w:w="992" w:type="dxa"/>
            <w:vAlign w:val="center"/>
          </w:tcPr>
          <w:p w:rsidR="004139C4" w:rsidRPr="00AA5430" w:rsidRDefault="004139C4" w:rsidP="00A11D68">
            <w:pPr>
              <w:tabs>
                <w:tab w:val="left" w:pos="540"/>
              </w:tabs>
              <w:spacing w:before="40" w:after="0"/>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val="0"/>
                <w:iCs w:val="0"/>
              </w:rPr>
            </w:pPr>
            <w:r w:rsidRPr="00AA5430">
              <w:rPr>
                <w:rFonts w:asciiTheme="minorBidi" w:hAnsiTheme="minorBidi" w:cstheme="minorBidi"/>
              </w:rPr>
              <w:t>To be rated</w:t>
            </w:r>
          </w:p>
        </w:tc>
      </w:tr>
      <w:tr w:rsidR="004139C4" w:rsidRPr="00AA5430" w:rsidTr="009051FE">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139C4" w:rsidRPr="00E90501" w:rsidRDefault="004139C4" w:rsidP="00765F7C">
            <w:pPr>
              <w:tabs>
                <w:tab w:val="left" w:pos="540"/>
              </w:tabs>
              <w:spacing w:before="40" w:after="0"/>
              <w:rPr>
                <w:rFonts w:asciiTheme="minorBidi" w:hAnsiTheme="minorBidi" w:cstheme="minorBidi"/>
                <w:b/>
                <w:bCs/>
              </w:rPr>
            </w:pPr>
            <w:r w:rsidRPr="00E90501">
              <w:rPr>
                <w:rFonts w:asciiTheme="minorBidi" w:hAnsiTheme="minorBidi"/>
                <w:b/>
                <w:bCs/>
              </w:rPr>
              <w:t>Rural poverty impact</w:t>
            </w:r>
          </w:p>
        </w:tc>
        <w:tc>
          <w:tcPr>
            <w:tcW w:w="5528" w:type="dxa"/>
            <w:shd w:val="clear" w:color="auto" w:fill="auto"/>
          </w:tcPr>
          <w:p w:rsidR="004139C4" w:rsidRPr="00E90501" w:rsidRDefault="004139C4" w:rsidP="00765F7C">
            <w:pPr>
              <w:tabs>
                <w:tab w:val="left" w:pos="540"/>
              </w:tabs>
              <w:spacing w:before="40" w:after="0"/>
              <w:jc w:val="lef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90501">
              <w:rPr>
                <w:rFonts w:asciiTheme="minorBidi" w:hAnsiTheme="minorBidi"/>
              </w:rPr>
              <w:t xml:space="preserve">Impact is defined as the changes that have occurred or are expected to occur in the lives of the rural poor (whether positive or negative, direct or indirect, intended or unintended) </w:t>
            </w:r>
            <w:proofErr w:type="gramStart"/>
            <w:r w:rsidRPr="00E90501">
              <w:rPr>
                <w:rFonts w:asciiTheme="minorBidi" w:hAnsiTheme="minorBidi"/>
              </w:rPr>
              <w:t>as a result</w:t>
            </w:r>
            <w:proofErr w:type="gramEnd"/>
            <w:r w:rsidRPr="00E90501">
              <w:rPr>
                <w:rFonts w:asciiTheme="minorBidi" w:hAnsiTheme="minorBidi"/>
              </w:rPr>
              <w:t xml:space="preserve"> of development interventions.</w:t>
            </w:r>
          </w:p>
        </w:tc>
        <w:tc>
          <w:tcPr>
            <w:tcW w:w="992" w:type="dxa"/>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X</w:t>
            </w:r>
          </w:p>
        </w:tc>
        <w:tc>
          <w:tcPr>
            <w:tcW w:w="992" w:type="dxa"/>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tc>
      </w:tr>
      <w:tr w:rsidR="004139C4" w:rsidRPr="00AA5430" w:rsidTr="0090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139C4" w:rsidRPr="00AA5430" w:rsidRDefault="004139C4" w:rsidP="00765F7C">
            <w:pPr>
              <w:tabs>
                <w:tab w:val="left" w:pos="540"/>
              </w:tabs>
              <w:spacing w:before="40" w:after="0"/>
              <w:rPr>
                <w:rFonts w:asciiTheme="minorBidi" w:hAnsiTheme="minorBidi" w:cstheme="minorBidi"/>
              </w:rPr>
            </w:pPr>
          </w:p>
        </w:tc>
        <w:tc>
          <w:tcPr>
            <w:tcW w:w="5528" w:type="dxa"/>
            <w:shd w:val="clear" w:color="auto" w:fill="auto"/>
          </w:tcPr>
          <w:p w:rsidR="004139C4" w:rsidRPr="00AA5430" w:rsidRDefault="004139C4" w:rsidP="00765F7C">
            <w:pPr>
              <w:tabs>
                <w:tab w:val="left" w:pos="540"/>
              </w:tabs>
              <w:spacing w:before="40" w:after="0"/>
              <w:jc w:val="left"/>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
                <w:iCs/>
              </w:rPr>
            </w:pPr>
            <w:r w:rsidRPr="00AA5430">
              <w:rPr>
                <w:rFonts w:asciiTheme="minorBidi" w:hAnsiTheme="minorBidi" w:cstheme="minorBidi"/>
                <w:i/>
                <w:iCs/>
              </w:rPr>
              <w:t>Four impact domains</w:t>
            </w:r>
          </w:p>
        </w:tc>
        <w:tc>
          <w:tcPr>
            <w:tcW w:w="992" w:type="dxa"/>
            <w:shd w:val="clear" w:color="auto" w:fill="auto"/>
            <w:vAlign w:val="center"/>
          </w:tcPr>
          <w:p w:rsidR="004139C4" w:rsidRPr="00AA5430" w:rsidRDefault="004139C4" w:rsidP="00A11D68">
            <w:pPr>
              <w:tabs>
                <w:tab w:val="left" w:pos="540"/>
              </w:tabs>
              <w:spacing w:before="40"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tc>
        <w:tc>
          <w:tcPr>
            <w:tcW w:w="992" w:type="dxa"/>
            <w:shd w:val="clear" w:color="auto" w:fill="auto"/>
            <w:vAlign w:val="center"/>
          </w:tcPr>
          <w:p w:rsidR="004139C4" w:rsidRPr="00AA5430" w:rsidRDefault="004139C4" w:rsidP="00A11D68">
            <w:pPr>
              <w:tabs>
                <w:tab w:val="left" w:pos="540"/>
              </w:tabs>
              <w:spacing w:before="40"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tc>
      </w:tr>
      <w:tr w:rsidR="004139C4" w:rsidRPr="00AA5430" w:rsidTr="009051FE">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139C4" w:rsidRPr="00AA5430" w:rsidRDefault="004139C4" w:rsidP="00765F7C">
            <w:pPr>
              <w:tabs>
                <w:tab w:val="left" w:pos="252"/>
              </w:tabs>
              <w:spacing w:before="40" w:after="0"/>
              <w:ind w:left="252"/>
              <w:rPr>
                <w:rFonts w:asciiTheme="minorBidi" w:hAnsiTheme="minorBidi" w:cstheme="minorBidi"/>
              </w:rPr>
            </w:pPr>
          </w:p>
        </w:tc>
        <w:tc>
          <w:tcPr>
            <w:tcW w:w="5528" w:type="dxa"/>
            <w:shd w:val="clear" w:color="auto" w:fill="auto"/>
          </w:tcPr>
          <w:p w:rsidR="004139C4" w:rsidRPr="00AA5430" w:rsidRDefault="004139C4" w:rsidP="00765F7C">
            <w:pPr>
              <w:pStyle w:val="ListParagraph"/>
              <w:numPr>
                <w:ilvl w:val="0"/>
                <w:numId w:val="12"/>
              </w:numPr>
              <w:spacing w:before="40" w:after="0"/>
              <w:ind w:left="284" w:hanging="284"/>
              <w:jc w:val="lef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Household income and net assets: Household income provides a means of assessing the flow of economic benefits accruing to an individual or group, whereas assets relate to a stock of accumulated items of economic value. The analysis must include an assessme</w:t>
            </w:r>
            <w:r>
              <w:rPr>
                <w:rFonts w:asciiTheme="minorBidi" w:hAnsiTheme="minorBidi" w:cstheme="minorBidi"/>
              </w:rPr>
              <w:t xml:space="preserve">nt of trends in equality </w:t>
            </w:r>
            <w:r w:rsidRPr="00C34DB1">
              <w:rPr>
                <w:rFonts w:asciiTheme="minorBidi" w:hAnsiTheme="minorBidi" w:cstheme="minorBidi"/>
              </w:rPr>
              <w:t>over time</w:t>
            </w:r>
            <w:r w:rsidRPr="00AA5430">
              <w:rPr>
                <w:rFonts w:asciiTheme="minorBidi" w:hAnsiTheme="minorBidi" w:cstheme="minorBidi"/>
              </w:rPr>
              <w:t xml:space="preserve">. </w:t>
            </w:r>
          </w:p>
        </w:tc>
        <w:tc>
          <w:tcPr>
            <w:tcW w:w="992" w:type="dxa"/>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c>
          <w:tcPr>
            <w:tcW w:w="992" w:type="dxa"/>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No</w:t>
            </w:r>
          </w:p>
        </w:tc>
      </w:tr>
      <w:tr w:rsidR="004139C4" w:rsidRPr="00AA5430" w:rsidTr="0090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139C4" w:rsidRPr="00AA5430" w:rsidRDefault="004139C4" w:rsidP="00765F7C">
            <w:pPr>
              <w:tabs>
                <w:tab w:val="left" w:pos="252"/>
              </w:tabs>
              <w:spacing w:before="40" w:after="0"/>
              <w:ind w:left="252"/>
              <w:rPr>
                <w:rFonts w:asciiTheme="minorBidi" w:hAnsiTheme="minorBidi" w:cstheme="minorBidi"/>
              </w:rPr>
            </w:pPr>
          </w:p>
        </w:tc>
        <w:tc>
          <w:tcPr>
            <w:tcW w:w="5528" w:type="dxa"/>
            <w:shd w:val="clear" w:color="auto" w:fill="auto"/>
          </w:tcPr>
          <w:p w:rsidR="004139C4" w:rsidRPr="00AA5430" w:rsidRDefault="004139C4" w:rsidP="00765F7C">
            <w:pPr>
              <w:pStyle w:val="ListParagraph"/>
              <w:numPr>
                <w:ilvl w:val="0"/>
                <w:numId w:val="12"/>
              </w:numPr>
              <w:spacing w:before="40" w:after="0"/>
              <w:ind w:left="284" w:hanging="284"/>
              <w:jc w:val="left"/>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Human and social capital and empowerment: Human and social capital and empowerment include an assessment of the changes that have occurred in the empowerment of individuals, the quality of grass-roots organizations and institutions, the poor’s individual and collective capacity, and in particular</w:t>
            </w:r>
            <w:r>
              <w:rPr>
                <w:rFonts w:asciiTheme="minorBidi" w:hAnsiTheme="minorBidi" w:cstheme="minorBidi"/>
              </w:rPr>
              <w:t>,</w:t>
            </w:r>
            <w:r w:rsidRPr="00AA5430">
              <w:rPr>
                <w:rFonts w:asciiTheme="minorBidi" w:hAnsiTheme="minorBidi" w:cstheme="minorBidi"/>
              </w:rPr>
              <w:t xml:space="preserve"> the extent to which specific groups such as youth are included or excluded from the development process.</w:t>
            </w:r>
          </w:p>
        </w:tc>
        <w:tc>
          <w:tcPr>
            <w:tcW w:w="992" w:type="dxa"/>
            <w:shd w:val="clear" w:color="auto" w:fill="auto"/>
            <w:vAlign w:val="center"/>
          </w:tcPr>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tc>
        <w:tc>
          <w:tcPr>
            <w:tcW w:w="992" w:type="dxa"/>
            <w:shd w:val="clear" w:color="auto" w:fill="auto"/>
            <w:vAlign w:val="center"/>
          </w:tcPr>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No</w:t>
            </w:r>
          </w:p>
        </w:tc>
      </w:tr>
      <w:tr w:rsidR="004139C4" w:rsidRPr="00AA5430" w:rsidTr="009051FE">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139C4" w:rsidRPr="00AA5430" w:rsidRDefault="004139C4" w:rsidP="00765F7C">
            <w:pPr>
              <w:tabs>
                <w:tab w:val="left" w:pos="252"/>
              </w:tabs>
              <w:spacing w:before="40" w:after="0"/>
              <w:ind w:left="252"/>
              <w:rPr>
                <w:rFonts w:asciiTheme="minorBidi" w:hAnsiTheme="minorBidi" w:cstheme="minorBidi"/>
              </w:rPr>
            </w:pPr>
          </w:p>
        </w:tc>
        <w:tc>
          <w:tcPr>
            <w:tcW w:w="5528" w:type="dxa"/>
            <w:shd w:val="clear" w:color="auto" w:fill="auto"/>
          </w:tcPr>
          <w:p w:rsidR="004139C4" w:rsidRPr="00AA5430" w:rsidRDefault="004139C4" w:rsidP="00765F7C">
            <w:pPr>
              <w:pStyle w:val="ListParagraph"/>
              <w:numPr>
                <w:ilvl w:val="0"/>
                <w:numId w:val="12"/>
              </w:numPr>
              <w:spacing w:before="40" w:after="0"/>
              <w:ind w:left="284" w:hanging="284"/>
              <w:jc w:val="left"/>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stheme="minorBidi"/>
                <w:sz w:val="24"/>
                <w:lang w:eastAsia="da-DK"/>
              </w:rPr>
            </w:pPr>
            <w:r w:rsidRPr="00AA5430">
              <w:rPr>
                <w:rFonts w:asciiTheme="minorBidi" w:hAnsiTheme="minorBidi" w:cstheme="minorBidi"/>
              </w:rPr>
              <w:t xml:space="preserve">Food security and agricultural productivity: Changes in food security relate to availability, stability, affordability and access to food and stability of access, whereas changes in agricultural productivity </w:t>
            </w:r>
            <w:proofErr w:type="gramStart"/>
            <w:r w:rsidRPr="00AA5430">
              <w:rPr>
                <w:rFonts w:asciiTheme="minorBidi" w:hAnsiTheme="minorBidi" w:cstheme="minorBidi"/>
              </w:rPr>
              <w:t>are measured</w:t>
            </w:r>
            <w:proofErr w:type="gramEnd"/>
            <w:r w:rsidRPr="00AA5430">
              <w:rPr>
                <w:rFonts w:asciiTheme="minorBidi" w:hAnsiTheme="minorBidi" w:cstheme="minorBidi"/>
              </w:rPr>
              <w:t xml:space="preserve"> in terms of yields; nutrition relates to the nutritional value of food and child malnutrition. </w:t>
            </w:r>
          </w:p>
        </w:tc>
        <w:tc>
          <w:tcPr>
            <w:tcW w:w="992" w:type="dxa"/>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c>
          <w:tcPr>
            <w:tcW w:w="992" w:type="dxa"/>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No</w:t>
            </w:r>
          </w:p>
        </w:tc>
      </w:tr>
      <w:tr w:rsidR="004139C4" w:rsidRPr="00AA5430" w:rsidTr="0090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139C4" w:rsidRPr="00AA5430" w:rsidRDefault="004139C4" w:rsidP="00765F7C">
            <w:pPr>
              <w:tabs>
                <w:tab w:val="left" w:pos="252"/>
              </w:tabs>
              <w:spacing w:before="40" w:after="0"/>
              <w:ind w:left="252"/>
              <w:rPr>
                <w:rFonts w:asciiTheme="minorBidi" w:hAnsiTheme="minorBidi" w:cstheme="minorBidi"/>
              </w:rPr>
            </w:pPr>
          </w:p>
        </w:tc>
        <w:tc>
          <w:tcPr>
            <w:tcW w:w="5528" w:type="dxa"/>
            <w:shd w:val="clear" w:color="auto" w:fill="auto"/>
          </w:tcPr>
          <w:p w:rsidR="004139C4" w:rsidRPr="00AA5430" w:rsidRDefault="004139C4" w:rsidP="00765F7C">
            <w:pPr>
              <w:pStyle w:val="ListParagraph"/>
              <w:numPr>
                <w:ilvl w:val="0"/>
                <w:numId w:val="12"/>
              </w:numPr>
              <w:spacing w:before="40" w:after="0"/>
              <w:ind w:left="284" w:hanging="284"/>
              <w:jc w:val="left"/>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 xml:space="preserve">Institutions and policies: The criterion relating to institutions and policies </w:t>
            </w:r>
            <w:proofErr w:type="gramStart"/>
            <w:r w:rsidRPr="00AA5430">
              <w:rPr>
                <w:rFonts w:asciiTheme="minorBidi" w:hAnsiTheme="minorBidi" w:cstheme="minorBidi"/>
              </w:rPr>
              <w:t>is designed</w:t>
            </w:r>
            <w:proofErr w:type="gramEnd"/>
            <w:r w:rsidRPr="00AA5430">
              <w:rPr>
                <w:rFonts w:asciiTheme="minorBidi" w:hAnsiTheme="minorBidi" w:cstheme="minorBidi"/>
              </w:rPr>
              <w:t xml:space="preserve"> to assess changes in the quality and performance of institutions, policies and the regulatory framework that influence the lives of the poor.</w:t>
            </w:r>
          </w:p>
        </w:tc>
        <w:tc>
          <w:tcPr>
            <w:tcW w:w="992" w:type="dxa"/>
            <w:shd w:val="clear" w:color="auto" w:fill="auto"/>
            <w:vAlign w:val="center"/>
          </w:tcPr>
          <w:p w:rsidR="004139C4" w:rsidRPr="00AA5430" w:rsidRDefault="004139C4" w:rsidP="00A11D68">
            <w:pPr>
              <w:tabs>
                <w:tab w:val="left" w:pos="252"/>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tc>
        <w:tc>
          <w:tcPr>
            <w:tcW w:w="992" w:type="dxa"/>
            <w:shd w:val="clear" w:color="auto" w:fill="auto"/>
            <w:vAlign w:val="center"/>
          </w:tcPr>
          <w:p w:rsidR="004139C4" w:rsidRPr="00AA5430" w:rsidRDefault="004139C4" w:rsidP="00A11D68">
            <w:pPr>
              <w:tabs>
                <w:tab w:val="left" w:pos="252"/>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No</w:t>
            </w:r>
          </w:p>
        </w:tc>
      </w:tr>
      <w:tr w:rsidR="004139C4" w:rsidRPr="00AA5430" w:rsidTr="009051FE">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4139C4" w:rsidRPr="00AA5430" w:rsidRDefault="004139C4" w:rsidP="00765F7C">
            <w:pPr>
              <w:tabs>
                <w:tab w:val="left" w:pos="540"/>
              </w:tabs>
              <w:spacing w:before="40" w:after="0"/>
              <w:rPr>
                <w:rFonts w:asciiTheme="minorBidi" w:hAnsiTheme="minorBidi" w:cstheme="minorBidi"/>
                <w:b/>
                <w:bCs/>
              </w:rPr>
            </w:pPr>
            <w:r w:rsidRPr="00AA5430">
              <w:rPr>
                <w:rFonts w:asciiTheme="minorBidi" w:hAnsiTheme="minorBidi" w:cstheme="minorBidi"/>
                <w:b/>
                <w:bCs/>
              </w:rPr>
              <w:t>Project performance</w:t>
            </w:r>
          </w:p>
        </w:tc>
        <w:tc>
          <w:tcPr>
            <w:tcW w:w="5528" w:type="dxa"/>
            <w:shd w:val="clear" w:color="auto" w:fill="DAEEF3" w:themeFill="accent5" w:themeFillTint="33"/>
          </w:tcPr>
          <w:p w:rsidR="004139C4" w:rsidRPr="00AA5430" w:rsidRDefault="004139C4" w:rsidP="00765F7C">
            <w:pPr>
              <w:tabs>
                <w:tab w:val="left" w:pos="540"/>
              </w:tabs>
              <w:spacing w:before="40" w:after="0"/>
              <w:jc w:val="lef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 xml:space="preserve">Project performance is an average of the ratings for relevance, effectiveness, efficiency and sustainability of benefits. </w:t>
            </w:r>
          </w:p>
        </w:tc>
        <w:tc>
          <w:tcPr>
            <w:tcW w:w="992" w:type="dxa"/>
            <w:shd w:val="clear" w:color="auto" w:fill="DAEEF3" w:themeFill="accent5" w:themeFillTint="33"/>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X</w:t>
            </w:r>
          </w:p>
        </w:tc>
        <w:tc>
          <w:tcPr>
            <w:tcW w:w="992" w:type="dxa"/>
            <w:shd w:val="clear" w:color="auto" w:fill="DAEEF3" w:themeFill="accent5" w:themeFillTint="33"/>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tc>
      </w:tr>
      <w:tr w:rsidR="004139C4" w:rsidRPr="00AA5430" w:rsidTr="0090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139C4" w:rsidRPr="00AA5430" w:rsidRDefault="004139C4" w:rsidP="00765F7C">
            <w:pPr>
              <w:tabs>
                <w:tab w:val="left" w:pos="540"/>
              </w:tabs>
              <w:spacing w:before="40" w:after="0"/>
              <w:rPr>
                <w:rFonts w:asciiTheme="minorBidi" w:hAnsiTheme="minorBidi" w:cstheme="minorBidi"/>
                <w:b/>
                <w:bCs/>
              </w:rPr>
            </w:pPr>
            <w:r w:rsidRPr="00AA5430">
              <w:rPr>
                <w:rFonts w:asciiTheme="minorBidi" w:hAnsiTheme="minorBidi" w:cstheme="minorBidi"/>
              </w:rPr>
              <w:t>Relevance</w:t>
            </w:r>
          </w:p>
        </w:tc>
        <w:tc>
          <w:tcPr>
            <w:tcW w:w="5528" w:type="dxa"/>
          </w:tcPr>
          <w:p w:rsidR="004139C4" w:rsidRPr="00AA5430" w:rsidRDefault="004139C4" w:rsidP="00765F7C">
            <w:pPr>
              <w:tabs>
                <w:tab w:val="left" w:pos="540"/>
              </w:tabs>
              <w:spacing w:before="40" w:after="0"/>
              <w:jc w:val="left"/>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 xml:space="preserve">The extent to which the objectives of a development intervention are consistent with beneficiaries’ requirements, country </w:t>
            </w:r>
            <w:proofErr w:type="gramStart"/>
            <w:r w:rsidRPr="00AA5430">
              <w:rPr>
                <w:rFonts w:asciiTheme="minorBidi" w:hAnsiTheme="minorBidi" w:cstheme="minorBidi"/>
              </w:rPr>
              <w:t>needs,</w:t>
            </w:r>
            <w:proofErr w:type="gramEnd"/>
            <w:r w:rsidRPr="00AA5430">
              <w:rPr>
                <w:rFonts w:asciiTheme="minorBidi" w:hAnsiTheme="minorBidi" w:cstheme="minorBidi"/>
              </w:rPr>
              <w:t xml:space="preserve"> institutional priorities and partner and donor policies. It also entails an assessment of project design and coherence in achieving its objectives. An assessment should also be made of whether objectives and design address inequality, for example, by assessing the relevance of targeting strategies adopted.</w:t>
            </w:r>
          </w:p>
        </w:tc>
        <w:tc>
          <w:tcPr>
            <w:tcW w:w="992" w:type="dxa"/>
            <w:vAlign w:val="center"/>
          </w:tcPr>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X</w:t>
            </w:r>
          </w:p>
        </w:tc>
        <w:tc>
          <w:tcPr>
            <w:tcW w:w="992" w:type="dxa"/>
            <w:vAlign w:val="center"/>
          </w:tcPr>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tc>
      </w:tr>
      <w:tr w:rsidR="004139C4" w:rsidRPr="00AA5430" w:rsidTr="009051FE">
        <w:trPr>
          <w:trHeight w:val="132"/>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4139C4" w:rsidRPr="00AA5430" w:rsidRDefault="004139C4" w:rsidP="00765F7C">
            <w:pPr>
              <w:tabs>
                <w:tab w:val="left" w:pos="540"/>
              </w:tabs>
              <w:spacing w:before="40" w:after="0"/>
              <w:rPr>
                <w:rFonts w:asciiTheme="minorBidi" w:hAnsiTheme="minorBidi" w:cstheme="minorBidi"/>
              </w:rPr>
            </w:pPr>
            <w:r w:rsidRPr="00AA5430">
              <w:rPr>
                <w:rFonts w:asciiTheme="minorBidi" w:hAnsiTheme="minorBidi" w:cstheme="minorBidi"/>
              </w:rPr>
              <w:t>Effectiveness</w:t>
            </w:r>
          </w:p>
        </w:tc>
        <w:tc>
          <w:tcPr>
            <w:tcW w:w="5528" w:type="dxa"/>
            <w:shd w:val="clear" w:color="auto" w:fill="DAEEF3" w:themeFill="accent5" w:themeFillTint="33"/>
          </w:tcPr>
          <w:p w:rsidR="004139C4" w:rsidRPr="00AA5430" w:rsidRDefault="004139C4" w:rsidP="00765F7C">
            <w:pPr>
              <w:tabs>
                <w:tab w:val="left" w:pos="540"/>
              </w:tabs>
              <w:spacing w:before="40" w:after="0"/>
              <w:jc w:val="lef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 xml:space="preserve">The extent to which the development intervention’s objectives </w:t>
            </w:r>
            <w:proofErr w:type="gramStart"/>
            <w:r w:rsidRPr="00AA5430">
              <w:rPr>
                <w:rFonts w:asciiTheme="minorBidi" w:hAnsiTheme="minorBidi" w:cstheme="minorBidi"/>
              </w:rPr>
              <w:t>were achieved</w:t>
            </w:r>
            <w:proofErr w:type="gramEnd"/>
            <w:r w:rsidRPr="00AA5430">
              <w:rPr>
                <w:rFonts w:asciiTheme="minorBidi" w:hAnsiTheme="minorBidi" w:cstheme="minorBidi"/>
              </w:rPr>
              <w:t>, or are expected to be achieved, taking into account their relative importance.</w:t>
            </w:r>
          </w:p>
        </w:tc>
        <w:tc>
          <w:tcPr>
            <w:tcW w:w="992" w:type="dxa"/>
            <w:shd w:val="clear" w:color="auto" w:fill="DAEEF3" w:themeFill="accent5" w:themeFillTint="33"/>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X</w:t>
            </w:r>
          </w:p>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c>
          <w:tcPr>
            <w:tcW w:w="992" w:type="dxa"/>
            <w:shd w:val="clear" w:color="auto" w:fill="DAEEF3" w:themeFill="accent5" w:themeFillTint="33"/>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tc>
      </w:tr>
      <w:tr w:rsidR="004139C4" w:rsidRPr="00AA5430" w:rsidTr="0090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139C4" w:rsidRPr="00AA5430" w:rsidRDefault="004139C4" w:rsidP="00765F7C">
            <w:pPr>
              <w:tabs>
                <w:tab w:val="left" w:pos="540"/>
              </w:tabs>
              <w:spacing w:before="40" w:after="0"/>
              <w:rPr>
                <w:rFonts w:asciiTheme="minorBidi" w:hAnsiTheme="minorBidi" w:cstheme="minorBidi"/>
              </w:rPr>
            </w:pPr>
            <w:r w:rsidRPr="00AA5430">
              <w:rPr>
                <w:rFonts w:asciiTheme="minorBidi" w:hAnsiTheme="minorBidi" w:cstheme="minorBidi"/>
              </w:rPr>
              <w:t>Efficiency</w:t>
            </w:r>
          </w:p>
          <w:p w:rsidR="004139C4" w:rsidRPr="00AA5430" w:rsidRDefault="004139C4" w:rsidP="00765F7C">
            <w:pPr>
              <w:tabs>
                <w:tab w:val="left" w:pos="540"/>
              </w:tabs>
              <w:spacing w:before="40" w:after="0"/>
              <w:rPr>
                <w:rFonts w:asciiTheme="minorBidi" w:hAnsiTheme="minorBidi" w:cstheme="minorBidi"/>
              </w:rPr>
            </w:pPr>
          </w:p>
          <w:p w:rsidR="004139C4" w:rsidRPr="00AA5430" w:rsidRDefault="004139C4" w:rsidP="00765F7C">
            <w:pPr>
              <w:tabs>
                <w:tab w:val="left" w:pos="540"/>
              </w:tabs>
              <w:spacing w:before="40" w:after="0"/>
              <w:rPr>
                <w:rFonts w:asciiTheme="minorBidi" w:hAnsiTheme="minorBidi" w:cstheme="minorBidi"/>
              </w:rPr>
            </w:pPr>
            <w:r w:rsidRPr="00AA5430">
              <w:rPr>
                <w:rFonts w:asciiTheme="minorBidi" w:hAnsiTheme="minorBidi" w:cstheme="minorBidi"/>
              </w:rPr>
              <w:t>Sustainability of benefits</w:t>
            </w:r>
          </w:p>
        </w:tc>
        <w:tc>
          <w:tcPr>
            <w:tcW w:w="5528" w:type="dxa"/>
          </w:tcPr>
          <w:p w:rsidR="004139C4" w:rsidRPr="00AA5430" w:rsidRDefault="004139C4" w:rsidP="00765F7C">
            <w:pPr>
              <w:tabs>
                <w:tab w:val="left" w:pos="540"/>
              </w:tabs>
              <w:spacing w:before="40" w:after="0"/>
              <w:jc w:val="left"/>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A measure of how economically resources/inputs (funds, expertise, time, etc.) are converted into results.</w:t>
            </w:r>
          </w:p>
          <w:p w:rsidR="004139C4" w:rsidRPr="00AA5430" w:rsidRDefault="004139C4" w:rsidP="00765F7C">
            <w:pPr>
              <w:tabs>
                <w:tab w:val="left" w:pos="540"/>
              </w:tabs>
              <w:spacing w:after="0"/>
              <w:jc w:val="left"/>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The likely continuation of net benefits from a development intervention beyond the phase of external funding support. It also includes an assessment of the likelihood that actual and anticipated results will be resilient to risks beyond the project’s life.</w:t>
            </w:r>
          </w:p>
        </w:tc>
        <w:tc>
          <w:tcPr>
            <w:tcW w:w="992" w:type="dxa"/>
          </w:tcPr>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X</w:t>
            </w:r>
          </w:p>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X</w:t>
            </w:r>
          </w:p>
        </w:tc>
        <w:tc>
          <w:tcPr>
            <w:tcW w:w="992" w:type="dxa"/>
          </w:tcPr>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tc>
      </w:tr>
      <w:tr w:rsidR="004139C4" w:rsidRPr="00AA5430" w:rsidTr="009051FE">
        <w:tc>
          <w:tcPr>
            <w:cnfStyle w:val="001000000000" w:firstRow="0" w:lastRow="0" w:firstColumn="1" w:lastColumn="0" w:oddVBand="0" w:evenVBand="0" w:oddHBand="0" w:evenHBand="0" w:firstRowFirstColumn="0" w:firstRowLastColumn="0" w:lastRowFirstColumn="0" w:lastRowLastColumn="0"/>
            <w:tcW w:w="1985" w:type="dxa"/>
            <w:tcBorders>
              <w:bottom w:val="nil"/>
            </w:tcBorders>
            <w:shd w:val="clear" w:color="auto" w:fill="auto"/>
          </w:tcPr>
          <w:p w:rsidR="004139C4" w:rsidRPr="00AA5430" w:rsidRDefault="004139C4" w:rsidP="00765F7C">
            <w:pPr>
              <w:tabs>
                <w:tab w:val="left" w:pos="252"/>
              </w:tabs>
              <w:spacing w:before="40" w:after="0"/>
              <w:rPr>
                <w:rFonts w:asciiTheme="minorBidi" w:hAnsiTheme="minorBidi" w:cstheme="minorBidi"/>
              </w:rPr>
            </w:pPr>
            <w:r w:rsidRPr="00AA5430">
              <w:rPr>
                <w:rFonts w:asciiTheme="minorBidi" w:hAnsiTheme="minorBidi" w:cstheme="minorBidi"/>
                <w:b/>
                <w:bCs/>
              </w:rPr>
              <w:t>Other performance criteria</w:t>
            </w:r>
          </w:p>
        </w:tc>
        <w:tc>
          <w:tcPr>
            <w:tcW w:w="5528" w:type="dxa"/>
            <w:tcBorders>
              <w:bottom w:val="nil"/>
            </w:tcBorders>
            <w:shd w:val="clear" w:color="auto" w:fill="auto"/>
          </w:tcPr>
          <w:p w:rsidR="004139C4" w:rsidRPr="00AA5430" w:rsidRDefault="004139C4" w:rsidP="00765F7C">
            <w:pPr>
              <w:tabs>
                <w:tab w:val="left" w:pos="540"/>
              </w:tabs>
              <w:spacing w:before="40" w:after="0"/>
              <w:jc w:val="lef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c>
          <w:tcPr>
            <w:tcW w:w="992" w:type="dxa"/>
            <w:tcBorders>
              <w:bottom w:val="nil"/>
            </w:tcBorders>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c>
          <w:tcPr>
            <w:tcW w:w="992" w:type="dxa"/>
            <w:tcBorders>
              <w:bottom w:val="nil"/>
            </w:tcBorders>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r>
      <w:tr w:rsidR="004139C4" w:rsidRPr="00AA5430" w:rsidTr="0090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139C4" w:rsidRPr="00AA5430" w:rsidRDefault="004139C4" w:rsidP="00765F7C">
            <w:pPr>
              <w:tabs>
                <w:tab w:val="left" w:pos="252"/>
              </w:tabs>
              <w:spacing w:before="40" w:after="0"/>
              <w:rPr>
                <w:rFonts w:asciiTheme="minorBidi" w:eastAsiaTheme="minorEastAsia" w:hAnsiTheme="minorBidi" w:cstheme="minorBidi"/>
                <w:lang w:eastAsia="da-DK"/>
              </w:rPr>
            </w:pPr>
            <w:r w:rsidRPr="00AA5430">
              <w:rPr>
                <w:rFonts w:asciiTheme="minorBidi" w:hAnsiTheme="minorBidi" w:cstheme="minorBidi"/>
              </w:rPr>
              <w:t>Gender equality and women’s empowerment</w:t>
            </w:r>
          </w:p>
          <w:p w:rsidR="004139C4" w:rsidRPr="00AA5430" w:rsidRDefault="004139C4" w:rsidP="00765F7C">
            <w:pPr>
              <w:tabs>
                <w:tab w:val="left" w:pos="252"/>
              </w:tabs>
              <w:spacing w:before="40" w:after="0"/>
              <w:rPr>
                <w:rFonts w:asciiTheme="minorBidi" w:hAnsiTheme="minorBidi" w:cstheme="minorBidi"/>
              </w:rPr>
            </w:pPr>
          </w:p>
          <w:p w:rsidR="004139C4" w:rsidRPr="00AA5430" w:rsidRDefault="004139C4" w:rsidP="00765F7C">
            <w:pPr>
              <w:tabs>
                <w:tab w:val="left" w:pos="252"/>
              </w:tabs>
              <w:spacing w:after="0"/>
              <w:rPr>
                <w:rFonts w:asciiTheme="minorBidi" w:hAnsiTheme="minorBidi" w:cstheme="minorBidi"/>
              </w:rPr>
            </w:pPr>
          </w:p>
        </w:tc>
        <w:tc>
          <w:tcPr>
            <w:tcW w:w="5528" w:type="dxa"/>
            <w:shd w:val="clear" w:color="auto" w:fill="auto"/>
          </w:tcPr>
          <w:p w:rsidR="004139C4" w:rsidRPr="00CB2352" w:rsidRDefault="004139C4" w:rsidP="00765F7C">
            <w:pPr>
              <w:autoSpaceDE w:val="0"/>
              <w:autoSpaceDN w:val="0"/>
              <w:adjustRightInd w:val="0"/>
              <w:spacing w:before="40" w:after="0"/>
              <w:jc w:val="left"/>
              <w:cnfStyle w:val="000000010000" w:firstRow="0" w:lastRow="0" w:firstColumn="0" w:lastColumn="0" w:oddVBand="0" w:evenVBand="0" w:oddHBand="0" w:evenHBand="1" w:firstRowFirstColumn="0" w:firstRowLastColumn="0" w:lastRowFirstColumn="0" w:lastRowLastColumn="0"/>
              <w:rPr>
                <w:rFonts w:asciiTheme="minorBidi" w:eastAsiaTheme="minorEastAsia" w:hAnsiTheme="minorBidi" w:cstheme="minorBidi"/>
                <w:lang w:eastAsia="da-DK"/>
              </w:rPr>
            </w:pPr>
            <w:r w:rsidRPr="00AA5430">
              <w:rPr>
                <w:rFonts w:asciiTheme="minorBidi" w:eastAsiaTheme="minorEastAsia" w:hAnsiTheme="minorBidi" w:cstheme="minorBidi"/>
                <w:lang w:eastAsia="da-DK"/>
              </w:rPr>
              <w:t xml:space="preserve">The extent to which IFAD interventions have contributed to better gender equality and women’s empowerment, for example, in terms of women’s access to and ownership of assets, resources and services; participation in decision making; work load balance and impact on women’s incomes, nutrition and livelihoods. </w:t>
            </w:r>
          </w:p>
        </w:tc>
        <w:tc>
          <w:tcPr>
            <w:tcW w:w="992" w:type="dxa"/>
            <w:shd w:val="clear" w:color="auto" w:fill="auto"/>
          </w:tcPr>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X</w:t>
            </w:r>
          </w:p>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tc>
        <w:tc>
          <w:tcPr>
            <w:tcW w:w="992" w:type="dxa"/>
            <w:shd w:val="clear" w:color="auto" w:fill="auto"/>
          </w:tcPr>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p w:rsidR="004139C4" w:rsidRPr="00AA5430" w:rsidRDefault="004139C4"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tc>
      </w:tr>
      <w:tr w:rsidR="00CB2352" w:rsidRPr="00AA5430" w:rsidTr="009051FE">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CB2352" w:rsidRPr="00AA5430" w:rsidRDefault="00CB2352" w:rsidP="00765F7C">
            <w:pPr>
              <w:tabs>
                <w:tab w:val="left" w:pos="252"/>
              </w:tabs>
              <w:spacing w:before="40" w:after="0"/>
              <w:rPr>
                <w:rFonts w:asciiTheme="minorBidi" w:hAnsiTheme="minorBidi" w:cstheme="minorBidi"/>
              </w:rPr>
            </w:pPr>
            <w:r>
              <w:rPr>
                <w:rFonts w:asciiTheme="minorBidi" w:hAnsiTheme="minorBidi" w:cstheme="minorBidi"/>
              </w:rPr>
              <w:t>Innovation</w:t>
            </w:r>
          </w:p>
        </w:tc>
        <w:tc>
          <w:tcPr>
            <w:tcW w:w="5528" w:type="dxa"/>
            <w:shd w:val="clear" w:color="auto" w:fill="auto"/>
          </w:tcPr>
          <w:p w:rsidR="00CB2352" w:rsidRPr="00AA5430" w:rsidRDefault="00CB2352" w:rsidP="00765F7C">
            <w:pPr>
              <w:autoSpaceDE w:val="0"/>
              <w:autoSpaceDN w:val="0"/>
              <w:adjustRightInd w:val="0"/>
              <w:spacing w:before="40" w:after="0"/>
              <w:jc w:val="left"/>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stheme="minorBidi"/>
                <w:lang w:eastAsia="da-DK"/>
              </w:rPr>
            </w:pPr>
            <w:r w:rsidRPr="00AA5430">
              <w:rPr>
                <w:rFonts w:asciiTheme="minorBidi" w:eastAsiaTheme="minorEastAsia" w:hAnsiTheme="minorBidi" w:cstheme="minorBidi"/>
                <w:lang w:eastAsia="da-DK"/>
              </w:rPr>
              <w:t>The extent to which IFAD development interventions</w:t>
            </w:r>
            <w:r>
              <w:rPr>
                <w:rFonts w:asciiTheme="minorBidi" w:eastAsiaTheme="minorEastAsia" w:hAnsiTheme="minorBidi" w:cstheme="minorBidi"/>
                <w:lang w:eastAsia="da-DK"/>
              </w:rPr>
              <w:t xml:space="preserve"> </w:t>
            </w:r>
            <w:r w:rsidRPr="00AA5430">
              <w:rPr>
                <w:rFonts w:asciiTheme="minorBidi" w:eastAsiaTheme="minorEastAsia" w:hAnsiTheme="minorBidi" w:cstheme="minorBidi"/>
                <w:lang w:eastAsia="da-DK"/>
              </w:rPr>
              <w:t>have introduced innovative approaches to rural poverty reduction.</w:t>
            </w:r>
          </w:p>
        </w:tc>
        <w:tc>
          <w:tcPr>
            <w:tcW w:w="992" w:type="dxa"/>
            <w:shd w:val="clear" w:color="auto" w:fill="auto"/>
          </w:tcPr>
          <w:p w:rsidR="00CB2352" w:rsidRPr="00AA5430" w:rsidRDefault="00CB2352"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Pr>
                <w:rFonts w:asciiTheme="minorBidi" w:hAnsiTheme="minorBidi" w:cstheme="minorBidi"/>
              </w:rPr>
              <w:t>X</w:t>
            </w:r>
          </w:p>
        </w:tc>
        <w:tc>
          <w:tcPr>
            <w:tcW w:w="992" w:type="dxa"/>
            <w:shd w:val="clear" w:color="auto" w:fill="auto"/>
          </w:tcPr>
          <w:p w:rsidR="00CB2352" w:rsidRPr="00AA5430" w:rsidRDefault="00CB2352"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Pr>
                <w:rFonts w:asciiTheme="minorBidi" w:hAnsiTheme="minorBidi" w:cstheme="minorBidi"/>
              </w:rPr>
              <w:t>Yes</w:t>
            </w:r>
          </w:p>
        </w:tc>
      </w:tr>
      <w:tr w:rsidR="00CB2352" w:rsidRPr="00AA5430" w:rsidTr="0090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CB2352" w:rsidRPr="00AA5430" w:rsidRDefault="00CB2352" w:rsidP="00765F7C">
            <w:pPr>
              <w:tabs>
                <w:tab w:val="left" w:pos="252"/>
              </w:tabs>
              <w:spacing w:before="40" w:after="0"/>
              <w:rPr>
                <w:rFonts w:asciiTheme="minorBidi" w:hAnsiTheme="minorBidi" w:cstheme="minorBidi"/>
              </w:rPr>
            </w:pPr>
            <w:r>
              <w:rPr>
                <w:rFonts w:asciiTheme="minorBidi" w:hAnsiTheme="minorBidi" w:cstheme="minorBidi"/>
              </w:rPr>
              <w:t>S</w:t>
            </w:r>
            <w:r w:rsidRPr="00AA5430">
              <w:rPr>
                <w:rFonts w:asciiTheme="minorBidi" w:hAnsiTheme="minorBidi" w:cstheme="minorBidi"/>
              </w:rPr>
              <w:t>caling up</w:t>
            </w:r>
          </w:p>
        </w:tc>
        <w:tc>
          <w:tcPr>
            <w:tcW w:w="5528" w:type="dxa"/>
            <w:shd w:val="clear" w:color="auto" w:fill="auto"/>
          </w:tcPr>
          <w:p w:rsidR="00CB2352" w:rsidRPr="00AA5430" w:rsidRDefault="00CB2352" w:rsidP="00765F7C">
            <w:pPr>
              <w:autoSpaceDE w:val="0"/>
              <w:autoSpaceDN w:val="0"/>
              <w:adjustRightInd w:val="0"/>
              <w:spacing w:before="40" w:after="0"/>
              <w:jc w:val="left"/>
              <w:cnfStyle w:val="000000010000" w:firstRow="0" w:lastRow="0" w:firstColumn="0" w:lastColumn="0" w:oddVBand="0" w:evenVBand="0" w:oddHBand="0" w:evenHBand="1" w:firstRowFirstColumn="0" w:firstRowLastColumn="0" w:lastRowFirstColumn="0" w:lastRowLastColumn="0"/>
              <w:rPr>
                <w:rFonts w:asciiTheme="minorBidi" w:eastAsiaTheme="minorEastAsia" w:hAnsiTheme="minorBidi" w:cstheme="minorBidi"/>
                <w:lang w:eastAsia="da-DK"/>
              </w:rPr>
            </w:pPr>
            <w:r w:rsidRPr="00AA5430">
              <w:rPr>
                <w:rFonts w:asciiTheme="minorBidi" w:eastAsiaTheme="minorEastAsia" w:hAnsiTheme="minorBidi" w:cstheme="minorBidi"/>
                <w:lang w:eastAsia="da-DK"/>
              </w:rPr>
              <w:t>The extent to which IFAD development interventions</w:t>
            </w:r>
            <w:r>
              <w:rPr>
                <w:rFonts w:asciiTheme="minorBidi" w:eastAsiaTheme="minorEastAsia" w:hAnsiTheme="minorBidi" w:cstheme="minorBidi"/>
                <w:lang w:eastAsia="da-DK"/>
              </w:rPr>
              <w:t> </w:t>
            </w:r>
            <w:r w:rsidRPr="00AA5430">
              <w:rPr>
                <w:rFonts w:asciiTheme="minorBidi" w:eastAsiaTheme="minorEastAsia" w:hAnsiTheme="minorBidi" w:cstheme="minorBidi"/>
                <w:lang w:eastAsia="da-DK"/>
              </w:rPr>
              <w:t>have been (or are likely to be) scaled up by government authorities, donor organizations, the private sector and others agencies.</w:t>
            </w:r>
          </w:p>
        </w:tc>
        <w:tc>
          <w:tcPr>
            <w:tcW w:w="992" w:type="dxa"/>
            <w:shd w:val="clear" w:color="auto" w:fill="auto"/>
          </w:tcPr>
          <w:p w:rsidR="00CB2352" w:rsidRPr="00AA5430" w:rsidRDefault="00CB2352"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Pr>
                <w:rFonts w:asciiTheme="minorBidi" w:hAnsiTheme="minorBidi" w:cstheme="minorBidi"/>
              </w:rPr>
              <w:t>X</w:t>
            </w:r>
          </w:p>
        </w:tc>
        <w:tc>
          <w:tcPr>
            <w:tcW w:w="992" w:type="dxa"/>
            <w:shd w:val="clear" w:color="auto" w:fill="auto"/>
          </w:tcPr>
          <w:p w:rsidR="00CB2352" w:rsidRPr="00AA5430" w:rsidRDefault="00CB2352" w:rsidP="00A11D68">
            <w:pPr>
              <w:tabs>
                <w:tab w:val="left" w:pos="540"/>
              </w:tabs>
              <w:spacing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r>
              <w:rPr>
                <w:rFonts w:asciiTheme="minorBidi" w:hAnsiTheme="minorBidi" w:cstheme="minorBidi"/>
              </w:rPr>
              <w:t>Yes</w:t>
            </w:r>
          </w:p>
        </w:tc>
      </w:tr>
      <w:tr w:rsidR="004139C4" w:rsidRPr="00AA5430" w:rsidTr="009051FE">
        <w:tc>
          <w:tcPr>
            <w:cnfStyle w:val="001000000000" w:firstRow="0" w:lastRow="0" w:firstColumn="1" w:lastColumn="0" w:oddVBand="0" w:evenVBand="0" w:oddHBand="0" w:evenHBand="0" w:firstRowFirstColumn="0" w:firstRowLastColumn="0" w:lastRowFirstColumn="0" w:lastRowLastColumn="0"/>
            <w:tcW w:w="1985" w:type="dxa"/>
            <w:tcBorders>
              <w:top w:val="nil"/>
            </w:tcBorders>
            <w:shd w:val="clear" w:color="auto" w:fill="auto"/>
          </w:tcPr>
          <w:p w:rsidR="004139C4" w:rsidRPr="00AA5430" w:rsidRDefault="004139C4" w:rsidP="00765F7C">
            <w:pPr>
              <w:tabs>
                <w:tab w:val="left" w:pos="0"/>
              </w:tabs>
              <w:spacing w:before="40" w:after="0"/>
              <w:rPr>
                <w:rFonts w:asciiTheme="minorBidi" w:hAnsiTheme="minorBidi"/>
              </w:rPr>
            </w:pPr>
            <w:r w:rsidRPr="00AA5430">
              <w:rPr>
                <w:rFonts w:asciiTheme="minorBidi" w:hAnsiTheme="minorBidi"/>
              </w:rPr>
              <w:t xml:space="preserve">Environment and natural resources management </w:t>
            </w:r>
          </w:p>
        </w:tc>
        <w:tc>
          <w:tcPr>
            <w:tcW w:w="5528" w:type="dxa"/>
            <w:tcBorders>
              <w:top w:val="nil"/>
            </w:tcBorders>
            <w:shd w:val="clear" w:color="auto" w:fill="FFFFFF" w:themeFill="background1"/>
          </w:tcPr>
          <w:p w:rsidR="004139C4" w:rsidRPr="00990122" w:rsidRDefault="004139C4" w:rsidP="00765F7C">
            <w:pPr>
              <w:tabs>
                <w:tab w:val="left" w:pos="540"/>
              </w:tabs>
              <w:spacing w:before="40" w:after="0"/>
              <w:jc w:val="left"/>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90122">
              <w:rPr>
                <w:rFonts w:asciiTheme="minorBidi" w:eastAsiaTheme="minorEastAsia" w:hAnsiTheme="minorBidi" w:cstheme="minorBidi"/>
                <w:lang w:eastAsia="da-DK"/>
              </w:rPr>
              <w:t>The extent to which</w:t>
            </w:r>
            <w:r w:rsidRPr="00990122">
              <w:rPr>
                <w:rFonts w:asciiTheme="minorBidi" w:hAnsiTheme="minorBidi"/>
              </w:rPr>
              <w:t xml:space="preserve"> IFAD development interventions contribute to resilient livelihoods and ecosystems. The focus is on the use and management of the natural environment, including natural resources defined as raw materials used for socio-economic and cultural purposes, and ecosystems and biodiversity - with the goods and services they provide.</w:t>
            </w:r>
          </w:p>
        </w:tc>
        <w:tc>
          <w:tcPr>
            <w:tcW w:w="992" w:type="dxa"/>
            <w:tcBorders>
              <w:top w:val="nil"/>
            </w:tcBorders>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AA5430">
              <w:rPr>
                <w:rFonts w:asciiTheme="minorBidi" w:hAnsiTheme="minorBidi"/>
              </w:rPr>
              <w:t>X</w:t>
            </w:r>
          </w:p>
        </w:tc>
        <w:tc>
          <w:tcPr>
            <w:tcW w:w="992" w:type="dxa"/>
            <w:tcBorders>
              <w:top w:val="nil"/>
            </w:tcBorders>
            <w:shd w:val="clear" w:color="auto" w:fill="auto"/>
            <w:vAlign w:val="center"/>
          </w:tcPr>
          <w:p w:rsidR="004139C4" w:rsidRPr="00AA5430" w:rsidRDefault="004139C4" w:rsidP="00A11D68">
            <w:pPr>
              <w:tabs>
                <w:tab w:val="left" w:pos="540"/>
              </w:tabs>
              <w:spacing w:after="0"/>
              <w:jc w:val="both"/>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AA5430">
              <w:rPr>
                <w:rFonts w:asciiTheme="minorBidi" w:hAnsiTheme="minorBidi"/>
              </w:rPr>
              <w:t>Yes</w:t>
            </w:r>
          </w:p>
        </w:tc>
      </w:tr>
      <w:tr w:rsidR="004139C4" w:rsidRPr="00AA5430" w:rsidTr="009051F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139C4" w:rsidRPr="00AA5430" w:rsidRDefault="004139C4" w:rsidP="00765F7C">
            <w:pPr>
              <w:tabs>
                <w:tab w:val="left" w:pos="540"/>
              </w:tabs>
              <w:spacing w:before="40" w:after="0"/>
              <w:rPr>
                <w:rFonts w:asciiTheme="minorBidi" w:hAnsiTheme="minorBidi" w:cstheme="minorBidi"/>
              </w:rPr>
            </w:pPr>
            <w:r w:rsidRPr="00AA5430">
              <w:rPr>
                <w:rFonts w:asciiTheme="minorBidi" w:hAnsiTheme="minorBidi" w:cstheme="minorBidi"/>
                <w:color w:val="000000"/>
              </w:rPr>
              <w:t>Adaptation to climate change</w:t>
            </w:r>
          </w:p>
        </w:tc>
        <w:tc>
          <w:tcPr>
            <w:tcW w:w="5528" w:type="dxa"/>
            <w:shd w:val="clear" w:color="auto" w:fill="FFFFFF" w:themeFill="background1"/>
          </w:tcPr>
          <w:p w:rsidR="004139C4" w:rsidRPr="00990122" w:rsidRDefault="004139C4" w:rsidP="00765F7C">
            <w:pPr>
              <w:tabs>
                <w:tab w:val="left" w:pos="540"/>
              </w:tabs>
              <w:spacing w:before="40" w:after="0"/>
              <w:jc w:val="left"/>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rPr>
            </w:pPr>
            <w:r w:rsidRPr="00990122">
              <w:rPr>
                <w:rFonts w:asciiTheme="minorBidi" w:hAnsiTheme="minorBidi" w:cstheme="minorBidi"/>
                <w:color w:val="000000"/>
              </w:rPr>
              <w:t>The contribution of the project to reducing the negative impacts of climate change through dedicated adaptation or risk reduction measures</w:t>
            </w:r>
          </w:p>
        </w:tc>
        <w:tc>
          <w:tcPr>
            <w:tcW w:w="992" w:type="dxa"/>
            <w:shd w:val="clear" w:color="auto" w:fill="auto"/>
            <w:vAlign w:val="center"/>
          </w:tcPr>
          <w:p w:rsidR="004139C4" w:rsidRPr="00AA5430" w:rsidRDefault="004139C4" w:rsidP="00A11D68">
            <w:pPr>
              <w:tabs>
                <w:tab w:val="left" w:pos="540"/>
              </w:tabs>
              <w:spacing w:after="0"/>
              <w:jc w:val="both"/>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X</w:t>
            </w:r>
          </w:p>
        </w:tc>
        <w:tc>
          <w:tcPr>
            <w:tcW w:w="992" w:type="dxa"/>
            <w:shd w:val="clear" w:color="auto" w:fill="auto"/>
            <w:vAlign w:val="center"/>
          </w:tcPr>
          <w:p w:rsidR="004139C4" w:rsidRPr="00AA5430" w:rsidRDefault="004139C4" w:rsidP="00A11D68">
            <w:pPr>
              <w:tabs>
                <w:tab w:val="left" w:pos="540"/>
              </w:tabs>
              <w:spacing w:after="0"/>
              <w:jc w:val="both"/>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tc>
      </w:tr>
    </w:tbl>
    <w:p w:rsidR="004139C4" w:rsidRDefault="004139C4" w:rsidP="00A11D68">
      <w:pPr>
        <w:jc w:val="both"/>
      </w:pPr>
      <w:r>
        <w:br w:type="page"/>
      </w:r>
    </w:p>
    <w:tbl>
      <w:tblPr>
        <w:tblStyle w:val="IOETable"/>
        <w:tblW w:w="9497" w:type="dxa"/>
        <w:tblInd w:w="0" w:type="dxa"/>
        <w:tblLook w:val="01E0" w:firstRow="1" w:lastRow="1" w:firstColumn="1" w:lastColumn="1" w:noHBand="0" w:noVBand="0"/>
      </w:tblPr>
      <w:tblGrid>
        <w:gridCol w:w="1985"/>
        <w:gridCol w:w="5528"/>
        <w:gridCol w:w="992"/>
        <w:gridCol w:w="992"/>
      </w:tblGrid>
      <w:tr w:rsidR="004139C4" w:rsidRPr="00AA5430" w:rsidTr="009051FE">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1985" w:type="dxa"/>
          </w:tcPr>
          <w:p w:rsidR="004139C4" w:rsidRPr="00E90501" w:rsidRDefault="004139C4" w:rsidP="00765F7C">
            <w:pPr>
              <w:tabs>
                <w:tab w:val="left" w:pos="540"/>
              </w:tabs>
              <w:rPr>
                <w:rFonts w:asciiTheme="minorBidi" w:hAnsiTheme="minorBidi" w:cstheme="minorBidi"/>
                <w:i w:val="0"/>
                <w:iCs w:val="0"/>
              </w:rPr>
            </w:pPr>
            <w:r w:rsidRPr="00E90501">
              <w:rPr>
                <w:rFonts w:asciiTheme="minorBidi" w:hAnsiTheme="minorBidi"/>
              </w:rPr>
              <w:t>Criteria</w:t>
            </w:r>
          </w:p>
        </w:tc>
        <w:tc>
          <w:tcPr>
            <w:tcW w:w="5528" w:type="dxa"/>
          </w:tcPr>
          <w:p w:rsidR="004139C4" w:rsidRPr="00E90501" w:rsidRDefault="004139C4" w:rsidP="00765F7C">
            <w:pPr>
              <w:tabs>
                <w:tab w:val="left" w:pos="540"/>
              </w:tabs>
              <w:spacing w:before="40"/>
              <w:jc w:val="lef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val="0"/>
                <w:iCs w:val="0"/>
              </w:rPr>
            </w:pPr>
            <w:r w:rsidRPr="00E90501">
              <w:rPr>
                <w:rFonts w:asciiTheme="minorBidi" w:hAnsiTheme="minorBidi"/>
              </w:rPr>
              <w:t xml:space="preserve">Definition </w:t>
            </w:r>
            <w:r w:rsidRPr="00990122">
              <w:rPr>
                <w:rFonts w:asciiTheme="minorBidi" w:hAnsiTheme="minorBidi"/>
                <w:sz w:val="20"/>
                <w:szCs w:val="20"/>
                <w:vertAlign w:val="superscript"/>
              </w:rPr>
              <w:t>*</w:t>
            </w:r>
          </w:p>
        </w:tc>
        <w:tc>
          <w:tcPr>
            <w:tcW w:w="992" w:type="dxa"/>
            <w:vAlign w:val="center"/>
          </w:tcPr>
          <w:p w:rsidR="004139C4" w:rsidRPr="00AA5430" w:rsidRDefault="004139C4" w:rsidP="00A11D68">
            <w:pPr>
              <w:tabs>
                <w:tab w:val="left" w:pos="540"/>
              </w:tabs>
              <w:spacing w:before="40"/>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val="0"/>
                <w:iCs w:val="0"/>
              </w:rPr>
            </w:pPr>
            <w:r w:rsidRPr="00AA5430">
              <w:rPr>
                <w:rFonts w:asciiTheme="minorBidi" w:hAnsiTheme="minorBidi" w:cstheme="minorBidi"/>
              </w:rPr>
              <w:t>Mandatory</w:t>
            </w:r>
          </w:p>
        </w:tc>
        <w:tc>
          <w:tcPr>
            <w:tcW w:w="992" w:type="dxa"/>
            <w:vAlign w:val="center"/>
          </w:tcPr>
          <w:p w:rsidR="004139C4" w:rsidRPr="00AA5430" w:rsidRDefault="004139C4" w:rsidP="00A11D68">
            <w:pPr>
              <w:tabs>
                <w:tab w:val="left" w:pos="540"/>
              </w:tabs>
              <w:spacing w:before="40"/>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val="0"/>
                <w:iCs w:val="0"/>
              </w:rPr>
            </w:pPr>
            <w:r w:rsidRPr="00AA5430">
              <w:rPr>
                <w:rFonts w:asciiTheme="minorBidi" w:hAnsiTheme="minorBidi" w:cstheme="minorBidi"/>
              </w:rPr>
              <w:t>To be rated</w:t>
            </w:r>
          </w:p>
        </w:tc>
      </w:tr>
      <w:tr w:rsidR="004139C4" w:rsidRPr="00AA5430" w:rsidTr="009051F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4139C4" w:rsidRPr="00AA5430" w:rsidRDefault="004139C4" w:rsidP="00765F7C">
            <w:pPr>
              <w:tabs>
                <w:tab w:val="left" w:pos="540"/>
              </w:tabs>
              <w:spacing w:before="40"/>
              <w:rPr>
                <w:rFonts w:asciiTheme="minorBidi" w:hAnsiTheme="minorBidi" w:cstheme="minorBidi"/>
                <w:b/>
                <w:bCs/>
              </w:rPr>
            </w:pPr>
            <w:r w:rsidRPr="00AA5430">
              <w:rPr>
                <w:rFonts w:asciiTheme="minorBidi" w:hAnsiTheme="minorBidi" w:cstheme="minorBidi"/>
                <w:b/>
                <w:bCs/>
              </w:rPr>
              <w:t>Overall project achievement</w:t>
            </w:r>
          </w:p>
        </w:tc>
        <w:tc>
          <w:tcPr>
            <w:tcW w:w="5528" w:type="dxa"/>
            <w:shd w:val="clear" w:color="auto" w:fill="FFFFFF" w:themeFill="background1"/>
          </w:tcPr>
          <w:p w:rsidR="004139C4" w:rsidRPr="00AA5430" w:rsidRDefault="004139C4" w:rsidP="00765F7C">
            <w:pPr>
              <w:tabs>
                <w:tab w:val="left" w:pos="540"/>
              </w:tabs>
              <w:spacing w:before="40"/>
              <w:jc w:val="lef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This provides an overarching assessment of the intervention, drawing upon the analysis and ratings for rural poverty impact, relevance, effectiveness, efficiency, sustainability</w:t>
            </w:r>
            <w:r>
              <w:rPr>
                <w:rFonts w:asciiTheme="minorBidi" w:hAnsiTheme="minorBidi" w:cstheme="minorBidi"/>
              </w:rPr>
              <w:t xml:space="preserve"> </w:t>
            </w:r>
            <w:r w:rsidRPr="00C34DB1">
              <w:rPr>
                <w:rFonts w:asciiTheme="minorBidi" w:hAnsiTheme="minorBidi" w:cstheme="minorBidi"/>
              </w:rPr>
              <w:t>of benefits</w:t>
            </w:r>
            <w:r w:rsidRPr="00AA5430">
              <w:rPr>
                <w:rFonts w:asciiTheme="minorBidi" w:hAnsiTheme="minorBidi" w:cstheme="minorBidi"/>
              </w:rPr>
              <w:t>, gender equality and women’s empowerment, innovation and scaling up, as well as environment and natural resources management, and adaptation to climate change.</w:t>
            </w:r>
          </w:p>
        </w:tc>
        <w:tc>
          <w:tcPr>
            <w:tcW w:w="992" w:type="dxa"/>
            <w:shd w:val="clear" w:color="auto" w:fill="FFFFFF" w:themeFill="background1"/>
            <w:vAlign w:val="center"/>
          </w:tcPr>
          <w:p w:rsidR="004139C4" w:rsidRPr="00AA5430" w:rsidRDefault="004139C4" w:rsidP="00A11D68">
            <w:pPr>
              <w:tabs>
                <w:tab w:val="left" w:pos="540"/>
              </w:tabs>
              <w:spacing w:after="6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X</w:t>
            </w:r>
          </w:p>
        </w:tc>
        <w:tc>
          <w:tcPr>
            <w:tcW w:w="992" w:type="dxa"/>
            <w:shd w:val="clear" w:color="auto" w:fill="FFFFFF" w:themeFill="background1"/>
            <w:vAlign w:val="center"/>
          </w:tcPr>
          <w:p w:rsidR="004139C4" w:rsidRPr="00AA5430" w:rsidRDefault="004139C4" w:rsidP="00A11D68">
            <w:pPr>
              <w:tabs>
                <w:tab w:val="left" w:pos="540"/>
              </w:tabs>
              <w:spacing w:after="6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tc>
      </w:tr>
      <w:tr w:rsidR="004139C4" w:rsidRPr="00AA5430" w:rsidTr="0024669D">
        <w:trPr>
          <w:cnfStyle w:val="000000010000" w:firstRow="0" w:lastRow="0" w:firstColumn="0" w:lastColumn="0" w:oddVBand="0" w:evenVBand="0" w:oddHBand="0" w:evenHBand="1"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985" w:type="dxa"/>
          </w:tcPr>
          <w:p w:rsidR="004139C4" w:rsidRPr="00AA5430" w:rsidRDefault="004139C4" w:rsidP="00765F7C">
            <w:pPr>
              <w:tabs>
                <w:tab w:val="left" w:pos="540"/>
              </w:tabs>
              <w:spacing w:before="40" w:after="0"/>
              <w:rPr>
                <w:rFonts w:asciiTheme="minorBidi" w:hAnsiTheme="minorBidi" w:cstheme="minorBidi"/>
                <w:b/>
                <w:bCs/>
              </w:rPr>
            </w:pPr>
            <w:r w:rsidRPr="00AA5430">
              <w:rPr>
                <w:rFonts w:asciiTheme="minorBidi" w:hAnsiTheme="minorBidi" w:cstheme="minorBidi"/>
                <w:b/>
                <w:bCs/>
              </w:rPr>
              <w:t xml:space="preserve">Performance of partners </w:t>
            </w:r>
          </w:p>
        </w:tc>
        <w:tc>
          <w:tcPr>
            <w:tcW w:w="5528" w:type="dxa"/>
          </w:tcPr>
          <w:p w:rsidR="004139C4" w:rsidRPr="00AA5430" w:rsidRDefault="004139C4" w:rsidP="00765F7C">
            <w:pPr>
              <w:tabs>
                <w:tab w:val="left" w:pos="540"/>
              </w:tabs>
              <w:spacing w:before="40" w:after="0"/>
              <w:jc w:val="left"/>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tc>
        <w:tc>
          <w:tcPr>
            <w:tcW w:w="992" w:type="dxa"/>
            <w:vAlign w:val="center"/>
          </w:tcPr>
          <w:p w:rsidR="004139C4" w:rsidRPr="00AA5430" w:rsidRDefault="004139C4" w:rsidP="00A11D68">
            <w:pPr>
              <w:tabs>
                <w:tab w:val="left" w:pos="540"/>
              </w:tabs>
              <w:spacing w:before="0"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tc>
        <w:tc>
          <w:tcPr>
            <w:tcW w:w="992" w:type="dxa"/>
            <w:vAlign w:val="center"/>
          </w:tcPr>
          <w:p w:rsidR="004139C4" w:rsidRPr="00AA5430" w:rsidRDefault="004139C4" w:rsidP="00A11D68">
            <w:pPr>
              <w:tabs>
                <w:tab w:val="left" w:pos="540"/>
              </w:tabs>
              <w:spacing w:before="0" w:after="0"/>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rPr>
            </w:pPr>
          </w:p>
        </w:tc>
      </w:tr>
      <w:tr w:rsidR="004139C4" w:rsidRPr="00AA5430" w:rsidTr="009051F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4139C4" w:rsidRPr="00AA5430" w:rsidRDefault="004139C4" w:rsidP="00765F7C">
            <w:pPr>
              <w:numPr>
                <w:ilvl w:val="0"/>
                <w:numId w:val="9"/>
              </w:numPr>
              <w:tabs>
                <w:tab w:val="clear" w:pos="1692"/>
                <w:tab w:val="left" w:pos="252"/>
              </w:tabs>
              <w:spacing w:before="40"/>
              <w:ind w:left="249" w:hanging="249"/>
              <w:rPr>
                <w:rFonts w:asciiTheme="minorBidi" w:hAnsiTheme="minorBidi" w:cstheme="minorBidi"/>
              </w:rPr>
            </w:pPr>
            <w:r w:rsidRPr="00AA5430">
              <w:rPr>
                <w:rFonts w:asciiTheme="minorBidi" w:hAnsiTheme="minorBidi" w:cstheme="minorBidi"/>
              </w:rPr>
              <w:t>IFAD</w:t>
            </w:r>
          </w:p>
          <w:p w:rsidR="004139C4" w:rsidRPr="00AA5430" w:rsidRDefault="004139C4" w:rsidP="00765F7C">
            <w:pPr>
              <w:numPr>
                <w:ilvl w:val="0"/>
                <w:numId w:val="9"/>
              </w:numPr>
              <w:tabs>
                <w:tab w:val="clear" w:pos="1692"/>
                <w:tab w:val="left" w:pos="252"/>
              </w:tabs>
              <w:spacing w:before="40"/>
              <w:ind w:left="249" w:hanging="249"/>
              <w:rPr>
                <w:rFonts w:asciiTheme="minorBidi" w:hAnsiTheme="minorBidi" w:cstheme="minorBidi"/>
              </w:rPr>
            </w:pPr>
            <w:r w:rsidRPr="00AA5430">
              <w:rPr>
                <w:rFonts w:asciiTheme="minorBidi" w:hAnsiTheme="minorBidi" w:cstheme="minorBidi"/>
              </w:rPr>
              <w:t xml:space="preserve">Government </w:t>
            </w:r>
          </w:p>
        </w:tc>
        <w:tc>
          <w:tcPr>
            <w:tcW w:w="5528" w:type="dxa"/>
            <w:shd w:val="clear" w:color="auto" w:fill="DAEEF3" w:themeFill="accent5" w:themeFillTint="33"/>
          </w:tcPr>
          <w:p w:rsidR="004139C4" w:rsidRPr="00AA5430" w:rsidRDefault="004139C4" w:rsidP="00765F7C">
            <w:pPr>
              <w:tabs>
                <w:tab w:val="left" w:pos="540"/>
              </w:tabs>
              <w:spacing w:before="40"/>
              <w:jc w:val="left"/>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 xml:space="preserve">This criterion assesses the contribution of partners to project design, execution, monitoring and reporting, supervision and implementation support, and evaluation. The performance of each partner </w:t>
            </w:r>
            <w:proofErr w:type="gramStart"/>
            <w:r w:rsidRPr="00AA5430">
              <w:rPr>
                <w:rFonts w:asciiTheme="minorBidi" w:hAnsiTheme="minorBidi" w:cstheme="minorBidi"/>
              </w:rPr>
              <w:t>will be assessed</w:t>
            </w:r>
            <w:proofErr w:type="gramEnd"/>
            <w:r w:rsidRPr="00AA5430">
              <w:rPr>
                <w:rFonts w:asciiTheme="minorBidi" w:hAnsiTheme="minorBidi" w:cstheme="minorBidi"/>
              </w:rPr>
              <w:t xml:space="preserve"> on an individual basis with a view to the partner’s expected role and responsibility in the project life cycle. </w:t>
            </w:r>
          </w:p>
        </w:tc>
        <w:tc>
          <w:tcPr>
            <w:tcW w:w="992" w:type="dxa"/>
            <w:shd w:val="clear" w:color="auto" w:fill="DAEEF3" w:themeFill="accent5" w:themeFillTint="33"/>
          </w:tcPr>
          <w:p w:rsidR="004139C4" w:rsidRPr="00AA5430" w:rsidRDefault="004139C4" w:rsidP="00A11D68">
            <w:pPr>
              <w:tabs>
                <w:tab w:val="left" w:pos="540"/>
              </w:tabs>
              <w:spacing w:after="60"/>
              <w:jc w:val="both"/>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X</w:t>
            </w:r>
          </w:p>
          <w:p w:rsidR="004139C4" w:rsidRPr="00AA5430" w:rsidRDefault="004139C4" w:rsidP="00A11D68">
            <w:pPr>
              <w:tabs>
                <w:tab w:val="left" w:pos="540"/>
              </w:tabs>
              <w:spacing w:after="60"/>
              <w:jc w:val="both"/>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X</w:t>
            </w:r>
          </w:p>
        </w:tc>
        <w:tc>
          <w:tcPr>
            <w:tcW w:w="992" w:type="dxa"/>
            <w:shd w:val="clear" w:color="auto" w:fill="DAEEF3" w:themeFill="accent5" w:themeFillTint="33"/>
          </w:tcPr>
          <w:p w:rsidR="004139C4" w:rsidRPr="00AA5430" w:rsidRDefault="004139C4" w:rsidP="00A11D68">
            <w:pPr>
              <w:tabs>
                <w:tab w:val="left" w:pos="540"/>
              </w:tabs>
              <w:spacing w:after="60"/>
              <w:jc w:val="both"/>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p w:rsidR="004139C4" w:rsidRPr="00AA5430" w:rsidRDefault="004139C4" w:rsidP="00A11D68">
            <w:pPr>
              <w:tabs>
                <w:tab w:val="left" w:pos="540"/>
              </w:tabs>
              <w:spacing w:after="60"/>
              <w:jc w:val="both"/>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rPr>
            </w:pPr>
            <w:r w:rsidRPr="00AA5430">
              <w:rPr>
                <w:rFonts w:asciiTheme="minorBidi" w:hAnsiTheme="minorBidi" w:cstheme="minorBidi"/>
              </w:rPr>
              <w:t>Yes</w:t>
            </w:r>
          </w:p>
        </w:tc>
      </w:tr>
    </w:tbl>
    <w:p w:rsidR="004139C4" w:rsidRPr="00AA5430" w:rsidRDefault="004139C4" w:rsidP="00A11D68">
      <w:pPr>
        <w:pStyle w:val="FootnoteText"/>
        <w:tabs>
          <w:tab w:val="left" w:pos="284"/>
        </w:tabs>
        <w:spacing w:before="60" w:after="120"/>
        <w:ind w:left="0"/>
        <w:jc w:val="both"/>
        <w:rPr>
          <w:rFonts w:asciiTheme="minorBidi" w:hAnsiTheme="minorBidi"/>
          <w:szCs w:val="16"/>
        </w:rPr>
      </w:pPr>
      <w:proofErr w:type="gramStart"/>
      <w:r w:rsidRPr="00990122">
        <w:rPr>
          <w:rFonts w:asciiTheme="minorBidi" w:hAnsiTheme="minorBidi"/>
          <w:szCs w:val="16"/>
        </w:rPr>
        <w:t xml:space="preserve">* </w:t>
      </w:r>
      <w:r w:rsidRPr="00AA5430">
        <w:rPr>
          <w:rFonts w:asciiTheme="minorBidi" w:hAnsiTheme="minorBidi"/>
          <w:szCs w:val="16"/>
        </w:rPr>
        <w:t xml:space="preserve">These definitions build on the </w:t>
      </w:r>
      <w:r w:rsidR="00D52C00" w:rsidRPr="00D52C00">
        <w:rPr>
          <w:rFonts w:asciiTheme="minorBidi" w:hAnsiTheme="minorBidi"/>
          <w:szCs w:val="16"/>
        </w:rPr>
        <w:t>Organisation for Economic Co-operation and Development</w:t>
      </w:r>
      <w:r w:rsidR="00D52C00">
        <w:rPr>
          <w:rFonts w:asciiTheme="minorBidi" w:hAnsiTheme="minorBidi"/>
          <w:szCs w:val="16"/>
        </w:rPr>
        <w:t>/Development Assistance Committee (</w:t>
      </w:r>
      <w:r w:rsidRPr="00AA5430">
        <w:rPr>
          <w:rFonts w:asciiTheme="minorBidi" w:hAnsiTheme="minorBidi"/>
          <w:szCs w:val="16"/>
        </w:rPr>
        <w:t>OECD/DAC</w:t>
      </w:r>
      <w:r w:rsidR="00D52C00">
        <w:rPr>
          <w:rFonts w:asciiTheme="minorBidi" w:hAnsiTheme="minorBidi"/>
          <w:szCs w:val="16"/>
        </w:rPr>
        <w:t>)</w:t>
      </w:r>
      <w:r w:rsidRPr="00AA5430">
        <w:rPr>
          <w:rFonts w:asciiTheme="minorBidi" w:hAnsiTheme="minorBidi"/>
          <w:szCs w:val="16"/>
        </w:rPr>
        <w:t xml:space="preserve"> Glossary of Key Terms in Evaluation and Results-Based Management; the Methodological Framework for Project Evaluation agreed with the Evaluation Committee in September 2003; the first edition of the Evaluation Manual discussed with the Evaluation Committee in December 2008; and further discussions with the Evaluation Committee in November 2010 on IOE’s evaluation criteria and key questions.</w:t>
      </w:r>
      <w:proofErr w:type="gramEnd"/>
    </w:p>
    <w:p w:rsidR="004139C4" w:rsidRDefault="004139C4" w:rsidP="00A11D68">
      <w:pPr>
        <w:pStyle w:val="Annex"/>
        <w:jc w:val="both"/>
        <w:sectPr w:rsidR="004139C4" w:rsidSect="00E76BB4">
          <w:headerReference w:type="default" r:id="rId14"/>
          <w:footerReference w:type="default" r:id="rId15"/>
          <w:pgSz w:w="11909" w:h="16834"/>
          <w:pgMar w:top="1440" w:right="1440" w:bottom="1440" w:left="1440" w:header="720" w:footer="720" w:gutter="0"/>
          <w:cols w:space="720"/>
        </w:sectPr>
      </w:pPr>
    </w:p>
    <w:p w:rsidR="004139C4" w:rsidRDefault="004139C4" w:rsidP="00A11D68">
      <w:pPr>
        <w:pStyle w:val="Annex"/>
        <w:jc w:val="both"/>
      </w:pPr>
      <w:bookmarkStart w:id="17" w:name="_Toc442570207"/>
      <w:r w:rsidRPr="00C66D9F">
        <w:t>Rating</w:t>
      </w:r>
      <w:r>
        <w:t xml:space="preserve"> </w:t>
      </w:r>
      <w:proofErr w:type="spellStart"/>
      <w:r w:rsidRPr="00BB732A">
        <w:t>comparison</w:t>
      </w:r>
      <w:bookmarkEnd w:id="17"/>
      <w:r w:rsidR="00D52C00" w:rsidRPr="00D52C00">
        <w:rPr>
          <w:vertAlign w:val="superscript"/>
        </w:rPr>
        <w:t>a</w:t>
      </w:r>
      <w:proofErr w:type="spellEnd"/>
      <w:r w:rsidR="00F9692E">
        <w:rPr>
          <w:vertAlign w:val="superscript"/>
        </w:rPr>
        <w:t xml:space="preserve">  </w:t>
      </w:r>
    </w:p>
    <w:tbl>
      <w:tblPr>
        <w:tblW w:w="9136" w:type="dxa"/>
        <w:jc w:val="center"/>
        <w:tblBorders>
          <w:top w:val="single" w:sz="12" w:space="0" w:color="auto"/>
          <w:bottom w:val="single" w:sz="12" w:space="0" w:color="auto"/>
        </w:tblBorders>
        <w:tblLook w:val="00A0" w:firstRow="1" w:lastRow="0" w:firstColumn="1" w:lastColumn="0" w:noHBand="0" w:noVBand="0"/>
      </w:tblPr>
      <w:tblGrid>
        <w:gridCol w:w="3740"/>
        <w:gridCol w:w="1843"/>
        <w:gridCol w:w="1842"/>
        <w:gridCol w:w="1711"/>
      </w:tblGrid>
      <w:tr w:rsidR="004139C4" w:rsidTr="00544FDC">
        <w:trPr>
          <w:trHeight w:val="312"/>
          <w:tblHeader/>
          <w:jc w:val="center"/>
        </w:trPr>
        <w:tc>
          <w:tcPr>
            <w:tcW w:w="3740" w:type="dxa"/>
            <w:tcBorders>
              <w:top w:val="single" w:sz="8" w:space="0" w:color="auto"/>
              <w:left w:val="nil"/>
              <w:bottom w:val="single" w:sz="12" w:space="0" w:color="auto"/>
              <w:right w:val="nil"/>
            </w:tcBorders>
            <w:shd w:val="clear" w:color="auto" w:fill="D9D9D9"/>
            <w:vAlign w:val="bottom"/>
            <w:hideMark/>
          </w:tcPr>
          <w:p w:rsidR="004139C4" w:rsidRPr="008246B9" w:rsidRDefault="004139C4" w:rsidP="00A11D68">
            <w:pPr>
              <w:spacing w:before="80" w:after="80"/>
              <w:jc w:val="both"/>
              <w:rPr>
                <w:rFonts w:asciiTheme="minorBidi" w:hAnsiTheme="minorBidi" w:cstheme="minorBidi"/>
                <w:i/>
                <w:iCs/>
                <w:color w:val="000000"/>
                <w:sz w:val="16"/>
                <w:szCs w:val="16"/>
              </w:rPr>
            </w:pPr>
            <w:r>
              <w:rPr>
                <w:rFonts w:asciiTheme="minorBidi" w:hAnsiTheme="minorBidi" w:cstheme="minorBidi"/>
                <w:i/>
                <w:iCs/>
                <w:color w:val="000000"/>
                <w:sz w:val="16"/>
                <w:szCs w:val="16"/>
                <w:lang w:val="en-GB"/>
              </w:rPr>
              <w:t>Criteria</w:t>
            </w:r>
          </w:p>
        </w:tc>
        <w:tc>
          <w:tcPr>
            <w:tcW w:w="1843" w:type="dxa"/>
            <w:tcBorders>
              <w:top w:val="single" w:sz="8" w:space="0" w:color="auto"/>
              <w:left w:val="nil"/>
              <w:bottom w:val="single" w:sz="12" w:space="0" w:color="auto"/>
              <w:right w:val="nil"/>
            </w:tcBorders>
            <w:shd w:val="clear" w:color="auto" w:fill="D9D9D9"/>
            <w:vAlign w:val="bottom"/>
            <w:hideMark/>
          </w:tcPr>
          <w:p w:rsidR="004139C4" w:rsidRPr="008246B9" w:rsidRDefault="004139C4" w:rsidP="00A11D68">
            <w:pPr>
              <w:spacing w:before="80" w:after="80"/>
              <w:jc w:val="both"/>
              <w:rPr>
                <w:rFonts w:asciiTheme="minorBidi" w:hAnsiTheme="minorBidi" w:cstheme="minorBidi"/>
                <w:i/>
                <w:iCs/>
                <w:color w:val="000000"/>
                <w:sz w:val="16"/>
                <w:szCs w:val="16"/>
                <w:lang w:val="en-GB"/>
              </w:rPr>
            </w:pPr>
            <w:r w:rsidRPr="008246B9">
              <w:rPr>
                <w:rFonts w:asciiTheme="minorBidi" w:hAnsiTheme="minorBidi" w:cstheme="minorBidi"/>
                <w:i/>
                <w:iCs/>
                <w:color w:val="000000"/>
                <w:sz w:val="16"/>
                <w:szCs w:val="16"/>
                <w:lang w:val="en-GB"/>
              </w:rPr>
              <w:t>P</w:t>
            </w:r>
            <w:r w:rsidR="00D52C00">
              <w:rPr>
                <w:rFonts w:asciiTheme="minorBidi" w:hAnsiTheme="minorBidi" w:cstheme="minorBidi"/>
                <w:i/>
                <w:iCs/>
                <w:color w:val="000000"/>
                <w:sz w:val="16"/>
                <w:szCs w:val="16"/>
                <w:lang w:val="en-GB"/>
              </w:rPr>
              <w:t xml:space="preserve">rogramme </w:t>
            </w:r>
            <w:r w:rsidRPr="008246B9">
              <w:rPr>
                <w:rFonts w:asciiTheme="minorBidi" w:hAnsiTheme="minorBidi" w:cstheme="minorBidi"/>
                <w:i/>
                <w:iCs/>
                <w:color w:val="000000"/>
                <w:sz w:val="16"/>
                <w:szCs w:val="16"/>
                <w:lang w:val="en-GB"/>
              </w:rPr>
              <w:t>M</w:t>
            </w:r>
            <w:r w:rsidR="00D52C00">
              <w:rPr>
                <w:rFonts w:asciiTheme="minorBidi" w:hAnsiTheme="minorBidi" w:cstheme="minorBidi"/>
                <w:i/>
                <w:iCs/>
                <w:color w:val="000000"/>
                <w:sz w:val="16"/>
                <w:szCs w:val="16"/>
                <w:lang w:val="en-GB"/>
              </w:rPr>
              <w:t xml:space="preserve">anagement </w:t>
            </w:r>
            <w:r w:rsidRPr="008246B9">
              <w:rPr>
                <w:rFonts w:asciiTheme="minorBidi" w:hAnsiTheme="minorBidi" w:cstheme="minorBidi"/>
                <w:i/>
                <w:iCs/>
                <w:color w:val="000000"/>
                <w:sz w:val="16"/>
                <w:szCs w:val="16"/>
                <w:lang w:val="en-GB"/>
              </w:rPr>
              <w:t>D</w:t>
            </w:r>
            <w:r w:rsidR="00D52C00">
              <w:rPr>
                <w:rFonts w:asciiTheme="minorBidi" w:hAnsiTheme="minorBidi" w:cstheme="minorBidi"/>
                <w:i/>
                <w:iCs/>
                <w:color w:val="000000"/>
                <w:sz w:val="16"/>
                <w:szCs w:val="16"/>
                <w:lang w:val="en-GB"/>
              </w:rPr>
              <w:t>epartment</w:t>
            </w:r>
            <w:r w:rsidRPr="008246B9">
              <w:rPr>
                <w:rFonts w:asciiTheme="minorBidi" w:hAnsiTheme="minorBidi" w:cstheme="minorBidi"/>
                <w:i/>
                <w:iCs/>
                <w:color w:val="000000"/>
                <w:sz w:val="16"/>
                <w:szCs w:val="16"/>
                <w:lang w:val="en-GB"/>
              </w:rPr>
              <w:t xml:space="preserve"> </w:t>
            </w:r>
            <w:r w:rsidR="00D52C00">
              <w:rPr>
                <w:rFonts w:asciiTheme="minorBidi" w:hAnsiTheme="minorBidi" w:cstheme="minorBidi"/>
                <w:i/>
                <w:iCs/>
                <w:color w:val="000000"/>
                <w:sz w:val="16"/>
                <w:szCs w:val="16"/>
                <w:lang w:val="en-GB"/>
              </w:rPr>
              <w:t xml:space="preserve">(PMD) </w:t>
            </w:r>
            <w:r>
              <w:rPr>
                <w:rFonts w:asciiTheme="minorBidi" w:hAnsiTheme="minorBidi" w:cstheme="minorBidi"/>
                <w:i/>
                <w:iCs/>
                <w:color w:val="000000"/>
                <w:sz w:val="16"/>
                <w:szCs w:val="16"/>
                <w:lang w:val="en-GB"/>
              </w:rPr>
              <w:t>r</w:t>
            </w:r>
            <w:r w:rsidRPr="008246B9">
              <w:rPr>
                <w:rFonts w:asciiTheme="minorBidi" w:hAnsiTheme="minorBidi" w:cstheme="minorBidi"/>
                <w:i/>
                <w:iCs/>
                <w:color w:val="000000"/>
                <w:sz w:val="16"/>
                <w:szCs w:val="16"/>
                <w:lang w:val="en-GB"/>
              </w:rPr>
              <w:t>ating</w:t>
            </w:r>
          </w:p>
        </w:tc>
        <w:tc>
          <w:tcPr>
            <w:tcW w:w="1842" w:type="dxa"/>
            <w:tcBorders>
              <w:top w:val="single" w:sz="8" w:space="0" w:color="auto"/>
              <w:left w:val="nil"/>
              <w:bottom w:val="single" w:sz="12" w:space="0" w:color="auto"/>
              <w:right w:val="nil"/>
            </w:tcBorders>
            <w:shd w:val="clear" w:color="auto" w:fill="D9D9D9"/>
            <w:vAlign w:val="bottom"/>
            <w:hideMark/>
          </w:tcPr>
          <w:p w:rsidR="004139C4" w:rsidRPr="008246B9" w:rsidRDefault="00D52C00" w:rsidP="00A11D68">
            <w:pPr>
              <w:spacing w:before="80" w:after="80"/>
              <w:jc w:val="both"/>
              <w:rPr>
                <w:rFonts w:asciiTheme="minorBidi" w:hAnsiTheme="minorBidi" w:cstheme="minorBidi"/>
                <w:i/>
                <w:iCs/>
                <w:color w:val="000000"/>
                <w:sz w:val="16"/>
                <w:szCs w:val="16"/>
              </w:rPr>
            </w:pPr>
            <w:r>
              <w:rPr>
                <w:rFonts w:asciiTheme="minorBidi" w:hAnsiTheme="minorBidi" w:cstheme="minorBidi"/>
                <w:i/>
                <w:iCs/>
                <w:color w:val="000000"/>
                <w:sz w:val="16"/>
                <w:szCs w:val="16"/>
                <w:lang w:val="en-GB"/>
              </w:rPr>
              <w:t xml:space="preserve">IOE </w:t>
            </w:r>
            <w:r w:rsidR="004139C4">
              <w:rPr>
                <w:rFonts w:asciiTheme="minorBidi" w:hAnsiTheme="minorBidi" w:cstheme="minorBidi"/>
                <w:i/>
                <w:iCs/>
                <w:color w:val="000000"/>
                <w:sz w:val="16"/>
                <w:szCs w:val="16"/>
                <w:lang w:val="en-GB"/>
              </w:rPr>
              <w:t>P</w:t>
            </w:r>
            <w:r>
              <w:rPr>
                <w:rFonts w:asciiTheme="minorBidi" w:hAnsiTheme="minorBidi" w:cstheme="minorBidi"/>
                <w:i/>
                <w:iCs/>
                <w:color w:val="000000"/>
                <w:sz w:val="16"/>
                <w:szCs w:val="16"/>
                <w:lang w:val="en-GB"/>
              </w:rPr>
              <w:t>roject Completion Report Validation (PCRV) r</w:t>
            </w:r>
            <w:r w:rsidRPr="008246B9">
              <w:rPr>
                <w:rFonts w:asciiTheme="minorBidi" w:hAnsiTheme="minorBidi" w:cstheme="minorBidi"/>
                <w:i/>
                <w:iCs/>
                <w:color w:val="000000"/>
                <w:sz w:val="16"/>
                <w:szCs w:val="16"/>
                <w:lang w:val="en-GB"/>
              </w:rPr>
              <w:t>ating</w:t>
            </w:r>
          </w:p>
        </w:tc>
        <w:tc>
          <w:tcPr>
            <w:tcW w:w="1711" w:type="dxa"/>
            <w:tcBorders>
              <w:top w:val="single" w:sz="8" w:space="0" w:color="auto"/>
              <w:left w:val="nil"/>
              <w:bottom w:val="single" w:sz="12" w:space="0" w:color="auto"/>
              <w:right w:val="nil"/>
            </w:tcBorders>
            <w:shd w:val="clear" w:color="auto" w:fill="D9D9D9"/>
            <w:vAlign w:val="bottom"/>
            <w:hideMark/>
          </w:tcPr>
          <w:p w:rsidR="00D52C00" w:rsidRDefault="00D52C00" w:rsidP="00A11D68">
            <w:pPr>
              <w:spacing w:before="80"/>
              <w:jc w:val="both"/>
              <w:rPr>
                <w:rFonts w:asciiTheme="minorBidi" w:hAnsiTheme="minorBidi" w:cstheme="minorBidi"/>
                <w:i/>
                <w:iCs/>
                <w:color w:val="000000"/>
                <w:sz w:val="16"/>
                <w:szCs w:val="16"/>
                <w:lang w:val="en-GB"/>
              </w:rPr>
            </w:pPr>
            <w:r>
              <w:rPr>
                <w:rFonts w:asciiTheme="minorBidi" w:hAnsiTheme="minorBidi" w:cstheme="minorBidi"/>
                <w:i/>
                <w:iCs/>
                <w:color w:val="000000"/>
                <w:sz w:val="16"/>
                <w:szCs w:val="16"/>
                <w:lang w:val="en-GB"/>
              </w:rPr>
              <w:t>Net r</w:t>
            </w:r>
            <w:r w:rsidR="004139C4">
              <w:rPr>
                <w:rFonts w:asciiTheme="minorBidi" w:hAnsiTheme="minorBidi" w:cstheme="minorBidi"/>
                <w:i/>
                <w:iCs/>
                <w:color w:val="000000"/>
                <w:sz w:val="16"/>
                <w:szCs w:val="16"/>
                <w:lang w:val="en-GB"/>
              </w:rPr>
              <w:t>ating d</w:t>
            </w:r>
            <w:r w:rsidR="004139C4" w:rsidRPr="008246B9">
              <w:rPr>
                <w:rFonts w:asciiTheme="minorBidi" w:hAnsiTheme="minorBidi" w:cstheme="minorBidi"/>
                <w:i/>
                <w:iCs/>
                <w:color w:val="000000"/>
                <w:sz w:val="16"/>
                <w:szCs w:val="16"/>
                <w:lang w:val="en-GB"/>
              </w:rPr>
              <w:t>isconnect</w:t>
            </w:r>
          </w:p>
          <w:p w:rsidR="004139C4" w:rsidRPr="008246B9" w:rsidRDefault="00D52C00" w:rsidP="00A11D68">
            <w:pPr>
              <w:spacing w:after="80"/>
              <w:jc w:val="both"/>
              <w:rPr>
                <w:rFonts w:asciiTheme="minorBidi" w:hAnsiTheme="minorBidi" w:cstheme="minorBidi"/>
                <w:i/>
                <w:iCs/>
                <w:color w:val="000000"/>
                <w:sz w:val="16"/>
                <w:szCs w:val="16"/>
                <w:lang w:val="en-GB"/>
              </w:rPr>
            </w:pPr>
            <w:r>
              <w:rPr>
                <w:rFonts w:asciiTheme="minorBidi" w:hAnsiTheme="minorBidi" w:cstheme="minorBidi"/>
                <w:i/>
                <w:iCs/>
                <w:color w:val="000000"/>
                <w:sz w:val="16"/>
                <w:szCs w:val="16"/>
                <w:lang w:val="en-GB"/>
              </w:rPr>
              <w:t>(PCRV-PMD)</w:t>
            </w:r>
          </w:p>
        </w:tc>
      </w:tr>
      <w:tr w:rsidR="004139C4" w:rsidTr="00D52C00">
        <w:trPr>
          <w:trHeight w:val="300"/>
          <w:jc w:val="center"/>
        </w:trPr>
        <w:tc>
          <w:tcPr>
            <w:tcW w:w="3740" w:type="dxa"/>
            <w:tcBorders>
              <w:top w:val="single" w:sz="12" w:space="0" w:color="auto"/>
              <w:left w:val="nil"/>
              <w:bottom w:val="nil"/>
              <w:right w:val="nil"/>
            </w:tcBorders>
            <w:shd w:val="clear" w:color="auto" w:fill="DAEEF3" w:themeFill="accent5" w:themeFillTint="33"/>
            <w:vAlign w:val="bottom"/>
          </w:tcPr>
          <w:p w:rsidR="004139C4" w:rsidRDefault="004139C4" w:rsidP="00A11D68">
            <w:pPr>
              <w:spacing w:before="120" w:afterLines="40" w:after="96"/>
              <w:jc w:val="both"/>
              <w:rPr>
                <w:rFonts w:ascii="Arial" w:hAnsi="Arial"/>
                <w:b/>
                <w:bCs/>
                <w:color w:val="000000"/>
                <w:sz w:val="16"/>
                <w:szCs w:val="24"/>
                <w:lang w:val="en-GB"/>
              </w:rPr>
            </w:pPr>
            <w:r>
              <w:rPr>
                <w:rFonts w:ascii="Arial" w:hAnsi="Arial"/>
                <w:b/>
                <w:bCs/>
                <w:color w:val="000000"/>
                <w:sz w:val="16"/>
                <w:szCs w:val="24"/>
                <w:lang w:val="en-GB"/>
              </w:rPr>
              <w:t>Rural poverty impact</w:t>
            </w:r>
          </w:p>
        </w:tc>
        <w:tc>
          <w:tcPr>
            <w:tcW w:w="1843" w:type="dxa"/>
            <w:tcBorders>
              <w:top w:val="single" w:sz="12" w:space="0" w:color="auto"/>
              <w:left w:val="nil"/>
              <w:bottom w:val="nil"/>
              <w:right w:val="nil"/>
            </w:tcBorders>
            <w:shd w:val="clear" w:color="auto" w:fill="DAEEF3" w:themeFill="accent5" w:themeFillTint="33"/>
            <w:vAlign w:val="bottom"/>
          </w:tcPr>
          <w:p w:rsidR="004139C4" w:rsidRDefault="00C40CA0" w:rsidP="00A11D68">
            <w:pPr>
              <w:spacing w:before="120" w:afterLines="40" w:after="96"/>
              <w:jc w:val="both"/>
              <w:rPr>
                <w:rFonts w:ascii="Arial" w:hAnsi="Arial"/>
                <w:color w:val="000000"/>
                <w:sz w:val="16"/>
                <w:szCs w:val="24"/>
                <w:lang w:val="en-GB"/>
              </w:rPr>
            </w:pPr>
            <w:r>
              <w:rPr>
                <w:rFonts w:ascii="Arial" w:hAnsi="Arial"/>
                <w:color w:val="000000"/>
                <w:sz w:val="16"/>
                <w:szCs w:val="24"/>
                <w:lang w:val="en-GB"/>
              </w:rPr>
              <w:t>5</w:t>
            </w:r>
          </w:p>
        </w:tc>
        <w:tc>
          <w:tcPr>
            <w:tcW w:w="1842" w:type="dxa"/>
            <w:tcBorders>
              <w:top w:val="single" w:sz="12" w:space="0" w:color="auto"/>
              <w:left w:val="nil"/>
              <w:bottom w:val="nil"/>
              <w:right w:val="nil"/>
            </w:tcBorders>
            <w:shd w:val="clear" w:color="auto" w:fill="DAEEF3" w:themeFill="accent5" w:themeFillTint="33"/>
            <w:vAlign w:val="bottom"/>
          </w:tcPr>
          <w:p w:rsidR="004139C4" w:rsidRDefault="002878AB" w:rsidP="00A11D68">
            <w:pPr>
              <w:spacing w:before="120" w:afterLines="40" w:after="96"/>
              <w:jc w:val="both"/>
              <w:rPr>
                <w:rFonts w:ascii="Arial" w:hAnsi="Arial"/>
                <w:color w:val="000000"/>
                <w:sz w:val="16"/>
                <w:szCs w:val="24"/>
                <w:lang w:val="en-GB"/>
              </w:rPr>
            </w:pPr>
            <w:r>
              <w:rPr>
                <w:rFonts w:ascii="Arial" w:hAnsi="Arial"/>
                <w:color w:val="000000"/>
                <w:sz w:val="16"/>
                <w:szCs w:val="24"/>
                <w:lang w:val="en-GB"/>
              </w:rPr>
              <w:t>4</w:t>
            </w:r>
          </w:p>
        </w:tc>
        <w:tc>
          <w:tcPr>
            <w:tcW w:w="1711" w:type="dxa"/>
            <w:tcBorders>
              <w:top w:val="single" w:sz="12" w:space="0" w:color="auto"/>
              <w:left w:val="nil"/>
              <w:bottom w:val="nil"/>
              <w:right w:val="nil"/>
            </w:tcBorders>
            <w:shd w:val="clear" w:color="auto" w:fill="DAEEF3" w:themeFill="accent5" w:themeFillTint="33"/>
            <w:vAlign w:val="bottom"/>
          </w:tcPr>
          <w:p w:rsidR="004139C4" w:rsidRDefault="00C40CA0" w:rsidP="002878AB">
            <w:pPr>
              <w:spacing w:before="120" w:afterLines="40" w:after="96"/>
              <w:jc w:val="both"/>
              <w:rPr>
                <w:rFonts w:ascii="Arial" w:hAnsi="Arial"/>
                <w:color w:val="000000"/>
                <w:sz w:val="16"/>
                <w:szCs w:val="24"/>
                <w:lang w:val="en-GB"/>
              </w:rPr>
            </w:pPr>
            <w:r>
              <w:rPr>
                <w:rFonts w:ascii="Arial" w:hAnsi="Arial"/>
                <w:color w:val="000000"/>
                <w:sz w:val="16"/>
                <w:szCs w:val="24"/>
                <w:lang w:val="en-GB"/>
              </w:rPr>
              <w:t>-</w:t>
            </w:r>
            <w:r w:rsidR="002878AB">
              <w:rPr>
                <w:rFonts w:ascii="Arial" w:hAnsi="Arial"/>
                <w:color w:val="000000"/>
                <w:sz w:val="16"/>
                <w:szCs w:val="24"/>
                <w:lang w:val="en-GB"/>
              </w:rPr>
              <w:t>1</w:t>
            </w:r>
          </w:p>
        </w:tc>
      </w:tr>
      <w:tr w:rsidR="004139C4" w:rsidTr="009051FE">
        <w:trPr>
          <w:trHeight w:val="148"/>
          <w:jc w:val="center"/>
        </w:trPr>
        <w:tc>
          <w:tcPr>
            <w:tcW w:w="9136" w:type="dxa"/>
            <w:gridSpan w:val="4"/>
            <w:tcBorders>
              <w:top w:val="nil"/>
              <w:left w:val="nil"/>
              <w:bottom w:val="nil"/>
            </w:tcBorders>
            <w:shd w:val="clear" w:color="auto" w:fill="FFFFFF" w:themeFill="background1"/>
            <w:vAlign w:val="bottom"/>
          </w:tcPr>
          <w:p w:rsidR="004139C4" w:rsidRDefault="004139C4" w:rsidP="00A11D68">
            <w:pPr>
              <w:jc w:val="both"/>
              <w:rPr>
                <w:rFonts w:ascii="Arial" w:hAnsi="Arial"/>
                <w:color w:val="000000"/>
                <w:sz w:val="16"/>
                <w:szCs w:val="24"/>
                <w:lang w:val="en-GB"/>
              </w:rPr>
            </w:pPr>
          </w:p>
        </w:tc>
      </w:tr>
      <w:tr w:rsidR="004139C4" w:rsidTr="00D52C00">
        <w:trPr>
          <w:trHeight w:val="300"/>
          <w:jc w:val="center"/>
        </w:trPr>
        <w:tc>
          <w:tcPr>
            <w:tcW w:w="3740" w:type="dxa"/>
            <w:tcBorders>
              <w:top w:val="nil"/>
              <w:left w:val="nil"/>
              <w:bottom w:val="nil"/>
              <w:right w:val="nil"/>
            </w:tcBorders>
            <w:shd w:val="clear" w:color="auto" w:fill="DAEEF3" w:themeFill="accent5" w:themeFillTint="33"/>
            <w:vAlign w:val="bottom"/>
            <w:hideMark/>
          </w:tcPr>
          <w:p w:rsidR="004139C4" w:rsidRDefault="004139C4" w:rsidP="00A11D68">
            <w:pPr>
              <w:spacing w:before="120" w:afterLines="40" w:after="96"/>
              <w:jc w:val="both"/>
              <w:rPr>
                <w:rFonts w:ascii="Arial" w:hAnsi="Arial"/>
                <w:b/>
                <w:bCs/>
                <w:color w:val="000000"/>
                <w:sz w:val="16"/>
                <w:szCs w:val="24"/>
              </w:rPr>
            </w:pPr>
            <w:r>
              <w:rPr>
                <w:rFonts w:ascii="Arial" w:hAnsi="Arial"/>
                <w:b/>
                <w:bCs/>
                <w:color w:val="000000"/>
                <w:sz w:val="16"/>
                <w:szCs w:val="24"/>
                <w:lang w:val="en-GB"/>
              </w:rPr>
              <w:t>Project performance</w:t>
            </w:r>
          </w:p>
        </w:tc>
        <w:tc>
          <w:tcPr>
            <w:tcW w:w="1843" w:type="dxa"/>
            <w:tcBorders>
              <w:top w:val="nil"/>
              <w:left w:val="nil"/>
              <w:bottom w:val="nil"/>
              <w:right w:val="nil"/>
            </w:tcBorders>
            <w:shd w:val="clear" w:color="auto" w:fill="DAEEF3" w:themeFill="accent5" w:themeFillTint="33"/>
            <w:vAlign w:val="bottom"/>
          </w:tcPr>
          <w:p w:rsidR="004139C4" w:rsidRDefault="004139C4" w:rsidP="00A11D68">
            <w:pPr>
              <w:spacing w:before="120" w:afterLines="40" w:after="96"/>
              <w:jc w:val="both"/>
              <w:rPr>
                <w:rFonts w:ascii="Arial" w:hAnsi="Arial"/>
                <w:color w:val="000000"/>
                <w:sz w:val="16"/>
                <w:szCs w:val="24"/>
                <w:lang w:val="en-GB"/>
              </w:rPr>
            </w:pPr>
          </w:p>
        </w:tc>
        <w:tc>
          <w:tcPr>
            <w:tcW w:w="1842" w:type="dxa"/>
            <w:tcBorders>
              <w:top w:val="nil"/>
              <w:left w:val="nil"/>
              <w:bottom w:val="nil"/>
              <w:right w:val="nil"/>
            </w:tcBorders>
            <w:shd w:val="clear" w:color="auto" w:fill="DAEEF3" w:themeFill="accent5" w:themeFillTint="33"/>
            <w:vAlign w:val="bottom"/>
            <w:hideMark/>
          </w:tcPr>
          <w:p w:rsidR="004139C4" w:rsidRDefault="004139C4" w:rsidP="00A11D68">
            <w:pPr>
              <w:spacing w:before="120" w:afterLines="40" w:after="96"/>
              <w:jc w:val="both"/>
              <w:rPr>
                <w:rFonts w:ascii="Arial" w:hAnsi="Arial"/>
                <w:color w:val="000000"/>
                <w:sz w:val="16"/>
                <w:szCs w:val="24"/>
              </w:rPr>
            </w:pPr>
            <w:r>
              <w:rPr>
                <w:rFonts w:ascii="Arial" w:hAnsi="Arial"/>
                <w:color w:val="000000"/>
                <w:sz w:val="16"/>
                <w:szCs w:val="24"/>
                <w:lang w:val="en-GB"/>
              </w:rPr>
              <w:t> </w:t>
            </w:r>
          </w:p>
        </w:tc>
        <w:tc>
          <w:tcPr>
            <w:tcW w:w="1711" w:type="dxa"/>
            <w:tcBorders>
              <w:top w:val="nil"/>
              <w:left w:val="nil"/>
              <w:bottom w:val="nil"/>
              <w:right w:val="nil"/>
            </w:tcBorders>
            <w:shd w:val="clear" w:color="auto" w:fill="DAEEF3" w:themeFill="accent5" w:themeFillTint="33"/>
            <w:vAlign w:val="bottom"/>
          </w:tcPr>
          <w:p w:rsidR="004139C4" w:rsidRDefault="004139C4" w:rsidP="00A11D68">
            <w:pPr>
              <w:spacing w:before="120" w:afterLines="40" w:after="96"/>
              <w:jc w:val="both"/>
              <w:rPr>
                <w:rFonts w:ascii="Arial" w:hAnsi="Arial"/>
                <w:color w:val="000000"/>
                <w:sz w:val="16"/>
                <w:szCs w:val="24"/>
                <w:lang w:val="en-GB"/>
              </w:rPr>
            </w:pPr>
          </w:p>
        </w:tc>
      </w:tr>
      <w:tr w:rsidR="004139C4" w:rsidTr="00D52C00">
        <w:trPr>
          <w:trHeight w:val="288"/>
          <w:jc w:val="center"/>
        </w:trPr>
        <w:tc>
          <w:tcPr>
            <w:tcW w:w="3740" w:type="dxa"/>
            <w:tcBorders>
              <w:top w:val="nil"/>
              <w:left w:val="nil"/>
              <w:bottom w:val="nil"/>
              <w:right w:val="nil"/>
            </w:tcBorders>
            <w:vAlign w:val="bottom"/>
            <w:hideMark/>
          </w:tcPr>
          <w:p w:rsidR="004139C4" w:rsidRDefault="004139C4" w:rsidP="00A11D68">
            <w:pPr>
              <w:spacing w:before="80" w:after="40"/>
              <w:jc w:val="both"/>
              <w:rPr>
                <w:rFonts w:ascii="Arial" w:hAnsi="Arial"/>
                <w:color w:val="000000"/>
                <w:sz w:val="16"/>
                <w:szCs w:val="24"/>
              </w:rPr>
            </w:pPr>
            <w:r>
              <w:rPr>
                <w:rFonts w:ascii="Arial" w:hAnsi="Arial"/>
                <w:color w:val="000000"/>
                <w:sz w:val="16"/>
                <w:szCs w:val="24"/>
                <w:lang w:val="en-GB"/>
              </w:rPr>
              <w:t>Relevance</w:t>
            </w:r>
          </w:p>
        </w:tc>
        <w:tc>
          <w:tcPr>
            <w:tcW w:w="1843"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4</w:t>
            </w:r>
          </w:p>
        </w:tc>
        <w:tc>
          <w:tcPr>
            <w:tcW w:w="1842"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rPr>
            </w:pPr>
            <w:r>
              <w:rPr>
                <w:rFonts w:ascii="Arial" w:hAnsi="Arial"/>
                <w:color w:val="000000"/>
                <w:sz w:val="16"/>
                <w:szCs w:val="24"/>
              </w:rPr>
              <w:t>4</w:t>
            </w:r>
          </w:p>
        </w:tc>
        <w:tc>
          <w:tcPr>
            <w:tcW w:w="1711"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0</w:t>
            </w:r>
          </w:p>
        </w:tc>
      </w:tr>
      <w:tr w:rsidR="004139C4" w:rsidTr="00D52C00">
        <w:trPr>
          <w:trHeight w:val="288"/>
          <w:jc w:val="center"/>
        </w:trPr>
        <w:tc>
          <w:tcPr>
            <w:tcW w:w="3740" w:type="dxa"/>
            <w:tcBorders>
              <w:top w:val="nil"/>
              <w:left w:val="nil"/>
              <w:bottom w:val="nil"/>
              <w:right w:val="nil"/>
            </w:tcBorders>
            <w:vAlign w:val="bottom"/>
            <w:hideMark/>
          </w:tcPr>
          <w:p w:rsidR="004139C4" w:rsidRDefault="004139C4" w:rsidP="00A11D68">
            <w:pPr>
              <w:spacing w:before="80" w:after="40"/>
              <w:jc w:val="both"/>
              <w:rPr>
                <w:rFonts w:ascii="Arial" w:hAnsi="Arial"/>
                <w:color w:val="000000"/>
                <w:sz w:val="16"/>
                <w:szCs w:val="24"/>
              </w:rPr>
            </w:pPr>
            <w:r>
              <w:rPr>
                <w:rFonts w:ascii="Arial" w:hAnsi="Arial"/>
                <w:color w:val="000000"/>
                <w:sz w:val="16"/>
                <w:szCs w:val="24"/>
                <w:lang w:val="en-GB"/>
              </w:rPr>
              <w:t>Effectiveness</w:t>
            </w:r>
          </w:p>
        </w:tc>
        <w:tc>
          <w:tcPr>
            <w:tcW w:w="1843"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5</w:t>
            </w:r>
          </w:p>
        </w:tc>
        <w:tc>
          <w:tcPr>
            <w:tcW w:w="1842" w:type="dxa"/>
            <w:tcBorders>
              <w:top w:val="nil"/>
              <w:left w:val="nil"/>
              <w:bottom w:val="nil"/>
              <w:right w:val="nil"/>
            </w:tcBorders>
            <w:vAlign w:val="bottom"/>
          </w:tcPr>
          <w:p w:rsidR="004139C4" w:rsidRDefault="002878AB" w:rsidP="00A11D68">
            <w:pPr>
              <w:spacing w:before="80" w:after="40"/>
              <w:jc w:val="both"/>
              <w:rPr>
                <w:rFonts w:ascii="Arial" w:hAnsi="Arial"/>
                <w:color w:val="000000"/>
                <w:sz w:val="16"/>
                <w:szCs w:val="24"/>
              </w:rPr>
            </w:pPr>
            <w:r>
              <w:rPr>
                <w:rFonts w:ascii="Arial" w:hAnsi="Arial"/>
                <w:color w:val="000000"/>
                <w:sz w:val="16"/>
                <w:szCs w:val="24"/>
              </w:rPr>
              <w:t>4</w:t>
            </w:r>
          </w:p>
        </w:tc>
        <w:tc>
          <w:tcPr>
            <w:tcW w:w="1711" w:type="dxa"/>
            <w:tcBorders>
              <w:top w:val="nil"/>
              <w:left w:val="nil"/>
              <w:bottom w:val="nil"/>
              <w:right w:val="nil"/>
            </w:tcBorders>
            <w:vAlign w:val="bottom"/>
          </w:tcPr>
          <w:p w:rsidR="004139C4" w:rsidRDefault="002878AB" w:rsidP="00A11D68">
            <w:pPr>
              <w:spacing w:before="80" w:after="40"/>
              <w:jc w:val="both"/>
              <w:rPr>
                <w:rFonts w:ascii="Arial" w:hAnsi="Arial"/>
                <w:color w:val="000000"/>
                <w:sz w:val="16"/>
                <w:szCs w:val="24"/>
                <w:lang w:val="en-GB"/>
              </w:rPr>
            </w:pPr>
            <w:r>
              <w:rPr>
                <w:rFonts w:ascii="Arial" w:hAnsi="Arial"/>
                <w:color w:val="000000"/>
                <w:sz w:val="16"/>
                <w:szCs w:val="24"/>
                <w:lang w:val="en-GB"/>
              </w:rPr>
              <w:t>-1</w:t>
            </w:r>
          </w:p>
        </w:tc>
      </w:tr>
      <w:tr w:rsidR="004139C4" w:rsidTr="00D52C00">
        <w:trPr>
          <w:trHeight w:val="288"/>
          <w:jc w:val="center"/>
        </w:trPr>
        <w:tc>
          <w:tcPr>
            <w:tcW w:w="3740" w:type="dxa"/>
            <w:tcBorders>
              <w:top w:val="nil"/>
              <w:left w:val="nil"/>
              <w:bottom w:val="nil"/>
              <w:right w:val="nil"/>
            </w:tcBorders>
            <w:vAlign w:val="bottom"/>
            <w:hideMark/>
          </w:tcPr>
          <w:p w:rsidR="004139C4" w:rsidRDefault="004139C4" w:rsidP="00A11D68">
            <w:pPr>
              <w:spacing w:before="80" w:after="40"/>
              <w:jc w:val="both"/>
              <w:rPr>
                <w:rFonts w:ascii="Arial" w:hAnsi="Arial"/>
                <w:color w:val="000000"/>
                <w:sz w:val="16"/>
                <w:szCs w:val="24"/>
              </w:rPr>
            </w:pPr>
            <w:r>
              <w:rPr>
                <w:rFonts w:ascii="Arial" w:hAnsi="Arial"/>
                <w:color w:val="000000"/>
                <w:sz w:val="16"/>
                <w:szCs w:val="24"/>
                <w:lang w:val="en-GB"/>
              </w:rPr>
              <w:t>Efficiency</w:t>
            </w:r>
          </w:p>
        </w:tc>
        <w:tc>
          <w:tcPr>
            <w:tcW w:w="1843"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5</w:t>
            </w:r>
          </w:p>
        </w:tc>
        <w:tc>
          <w:tcPr>
            <w:tcW w:w="1842" w:type="dxa"/>
            <w:tcBorders>
              <w:top w:val="nil"/>
              <w:left w:val="nil"/>
              <w:bottom w:val="nil"/>
              <w:right w:val="nil"/>
            </w:tcBorders>
            <w:vAlign w:val="bottom"/>
          </w:tcPr>
          <w:p w:rsidR="004139C4" w:rsidRDefault="00BE4E6D" w:rsidP="00BE4E6D">
            <w:pPr>
              <w:spacing w:before="80" w:after="40"/>
              <w:jc w:val="both"/>
              <w:rPr>
                <w:rFonts w:ascii="Arial" w:hAnsi="Arial"/>
                <w:color w:val="000000"/>
                <w:sz w:val="16"/>
                <w:szCs w:val="24"/>
              </w:rPr>
            </w:pPr>
            <w:r>
              <w:rPr>
                <w:rFonts w:ascii="Arial" w:hAnsi="Arial"/>
                <w:color w:val="000000"/>
                <w:sz w:val="16"/>
                <w:szCs w:val="24"/>
              </w:rPr>
              <w:t>4</w:t>
            </w:r>
          </w:p>
        </w:tc>
        <w:tc>
          <w:tcPr>
            <w:tcW w:w="1711" w:type="dxa"/>
            <w:tcBorders>
              <w:top w:val="nil"/>
              <w:left w:val="nil"/>
              <w:bottom w:val="nil"/>
              <w:right w:val="nil"/>
            </w:tcBorders>
            <w:vAlign w:val="bottom"/>
          </w:tcPr>
          <w:p w:rsidR="004139C4" w:rsidRDefault="00BE4E6D" w:rsidP="00A11D68">
            <w:pPr>
              <w:spacing w:before="80" w:after="40"/>
              <w:jc w:val="both"/>
              <w:rPr>
                <w:rFonts w:ascii="Arial" w:hAnsi="Arial"/>
                <w:color w:val="000000"/>
                <w:sz w:val="16"/>
                <w:szCs w:val="24"/>
                <w:lang w:val="en-GB"/>
              </w:rPr>
            </w:pPr>
            <w:r>
              <w:rPr>
                <w:rFonts w:ascii="Arial" w:hAnsi="Arial"/>
                <w:color w:val="000000"/>
                <w:sz w:val="16"/>
                <w:szCs w:val="24"/>
                <w:lang w:val="en-GB"/>
              </w:rPr>
              <w:t>-1</w:t>
            </w:r>
          </w:p>
        </w:tc>
      </w:tr>
      <w:tr w:rsidR="004139C4" w:rsidRPr="00A667BC" w:rsidTr="00D52C00">
        <w:trPr>
          <w:trHeight w:val="300"/>
          <w:jc w:val="center"/>
        </w:trPr>
        <w:tc>
          <w:tcPr>
            <w:tcW w:w="3740" w:type="dxa"/>
            <w:tcBorders>
              <w:top w:val="nil"/>
              <w:left w:val="nil"/>
              <w:bottom w:val="nil"/>
              <w:right w:val="nil"/>
            </w:tcBorders>
            <w:vAlign w:val="bottom"/>
            <w:hideMark/>
          </w:tcPr>
          <w:p w:rsidR="004139C4" w:rsidRPr="00A667BC" w:rsidRDefault="004139C4" w:rsidP="00A11D68">
            <w:pPr>
              <w:spacing w:before="80" w:after="40"/>
              <w:jc w:val="both"/>
              <w:rPr>
                <w:rFonts w:ascii="Arial" w:hAnsi="Arial"/>
                <w:bCs/>
                <w:color w:val="000000"/>
                <w:sz w:val="16"/>
                <w:szCs w:val="24"/>
              </w:rPr>
            </w:pPr>
            <w:r>
              <w:rPr>
                <w:rFonts w:ascii="Arial" w:hAnsi="Arial"/>
                <w:bCs/>
                <w:color w:val="000000"/>
                <w:sz w:val="16"/>
                <w:szCs w:val="24"/>
                <w:lang w:val="en-GB"/>
              </w:rPr>
              <w:t>Sustainability of benefits</w:t>
            </w:r>
          </w:p>
        </w:tc>
        <w:tc>
          <w:tcPr>
            <w:tcW w:w="1843" w:type="dxa"/>
            <w:tcBorders>
              <w:top w:val="nil"/>
              <w:left w:val="nil"/>
              <w:bottom w:val="nil"/>
              <w:right w:val="nil"/>
            </w:tcBorders>
            <w:vAlign w:val="bottom"/>
          </w:tcPr>
          <w:p w:rsidR="004139C4" w:rsidRPr="00A667BC" w:rsidRDefault="00C40CA0" w:rsidP="00A11D68">
            <w:pPr>
              <w:spacing w:before="80" w:after="40"/>
              <w:jc w:val="both"/>
              <w:rPr>
                <w:rFonts w:ascii="Arial" w:hAnsi="Arial"/>
                <w:bCs/>
                <w:color w:val="000000"/>
                <w:sz w:val="16"/>
                <w:szCs w:val="24"/>
                <w:lang w:val="en-GB"/>
              </w:rPr>
            </w:pPr>
            <w:r>
              <w:rPr>
                <w:rFonts w:ascii="Arial" w:hAnsi="Arial"/>
                <w:bCs/>
                <w:color w:val="000000"/>
                <w:sz w:val="16"/>
                <w:szCs w:val="24"/>
                <w:lang w:val="en-GB"/>
              </w:rPr>
              <w:t>5</w:t>
            </w:r>
          </w:p>
        </w:tc>
        <w:tc>
          <w:tcPr>
            <w:tcW w:w="1842" w:type="dxa"/>
            <w:tcBorders>
              <w:top w:val="nil"/>
              <w:left w:val="nil"/>
              <w:bottom w:val="nil"/>
              <w:right w:val="nil"/>
            </w:tcBorders>
            <w:vAlign w:val="bottom"/>
          </w:tcPr>
          <w:p w:rsidR="004139C4" w:rsidRPr="00A667BC" w:rsidRDefault="005A21EC" w:rsidP="00A11D68">
            <w:pPr>
              <w:spacing w:before="80" w:after="40"/>
              <w:jc w:val="both"/>
              <w:rPr>
                <w:rFonts w:ascii="Arial" w:hAnsi="Arial"/>
                <w:bCs/>
                <w:color w:val="000000"/>
                <w:sz w:val="16"/>
                <w:szCs w:val="24"/>
              </w:rPr>
            </w:pPr>
            <w:r>
              <w:rPr>
                <w:rFonts w:ascii="Arial" w:hAnsi="Arial"/>
                <w:bCs/>
                <w:color w:val="000000"/>
                <w:sz w:val="16"/>
                <w:szCs w:val="24"/>
              </w:rPr>
              <w:t>4</w:t>
            </w:r>
          </w:p>
        </w:tc>
        <w:tc>
          <w:tcPr>
            <w:tcW w:w="1711" w:type="dxa"/>
            <w:tcBorders>
              <w:top w:val="nil"/>
              <w:left w:val="nil"/>
              <w:bottom w:val="nil"/>
              <w:right w:val="nil"/>
            </w:tcBorders>
            <w:vAlign w:val="bottom"/>
          </w:tcPr>
          <w:p w:rsidR="004139C4" w:rsidRPr="00A667BC" w:rsidRDefault="005A21EC" w:rsidP="00A11D68">
            <w:pPr>
              <w:spacing w:before="80" w:after="40"/>
              <w:jc w:val="both"/>
              <w:rPr>
                <w:rFonts w:ascii="Arial" w:hAnsi="Arial"/>
                <w:bCs/>
                <w:color w:val="000000"/>
                <w:sz w:val="16"/>
                <w:szCs w:val="24"/>
                <w:lang w:val="en-GB"/>
              </w:rPr>
            </w:pPr>
            <w:r>
              <w:rPr>
                <w:rFonts w:ascii="Arial" w:hAnsi="Arial"/>
                <w:bCs/>
                <w:color w:val="000000"/>
                <w:sz w:val="16"/>
                <w:szCs w:val="24"/>
                <w:lang w:val="en-GB"/>
              </w:rPr>
              <w:t>-1</w:t>
            </w:r>
          </w:p>
        </w:tc>
      </w:tr>
      <w:tr w:rsidR="004139C4" w:rsidTr="00D52C00">
        <w:trPr>
          <w:trHeight w:val="288"/>
          <w:jc w:val="center"/>
        </w:trPr>
        <w:tc>
          <w:tcPr>
            <w:tcW w:w="3740" w:type="dxa"/>
            <w:tcBorders>
              <w:top w:val="nil"/>
              <w:left w:val="nil"/>
              <w:bottom w:val="nil"/>
              <w:right w:val="nil"/>
            </w:tcBorders>
            <w:shd w:val="clear" w:color="auto" w:fill="FFFFFF" w:themeFill="background1"/>
            <w:vAlign w:val="bottom"/>
          </w:tcPr>
          <w:p w:rsidR="004139C4" w:rsidRDefault="004E4962" w:rsidP="00A11D68">
            <w:pPr>
              <w:spacing w:before="120" w:afterLines="40" w:after="96"/>
              <w:jc w:val="both"/>
              <w:rPr>
                <w:rFonts w:ascii="Arial" w:hAnsi="Arial"/>
                <w:b/>
                <w:bCs/>
                <w:color w:val="000000"/>
                <w:sz w:val="16"/>
                <w:szCs w:val="24"/>
                <w:lang w:val="en-GB"/>
              </w:rPr>
            </w:pPr>
            <w:r>
              <w:rPr>
                <w:rFonts w:ascii="Arial" w:hAnsi="Arial"/>
                <w:b/>
                <w:bCs/>
                <w:color w:val="000000"/>
                <w:sz w:val="16"/>
                <w:szCs w:val="24"/>
                <w:lang w:val="en-GB"/>
              </w:rPr>
              <w:t xml:space="preserve">Project </w:t>
            </w:r>
            <w:proofErr w:type="spellStart"/>
            <w:r>
              <w:rPr>
                <w:rFonts w:ascii="Arial" w:hAnsi="Arial"/>
                <w:b/>
                <w:bCs/>
                <w:color w:val="000000"/>
                <w:sz w:val="16"/>
                <w:szCs w:val="24"/>
                <w:lang w:val="en-GB"/>
              </w:rPr>
              <w:t>performance</w:t>
            </w:r>
            <w:r w:rsidR="004139C4" w:rsidRPr="00A667BC">
              <w:rPr>
                <w:rFonts w:ascii="Arial" w:hAnsi="Arial"/>
                <w:b/>
                <w:bCs/>
                <w:color w:val="000000"/>
                <w:sz w:val="16"/>
                <w:szCs w:val="24"/>
                <w:vertAlign w:val="superscript"/>
                <w:lang w:val="en-GB"/>
              </w:rPr>
              <w:t>b</w:t>
            </w:r>
            <w:proofErr w:type="spellEnd"/>
          </w:p>
        </w:tc>
        <w:tc>
          <w:tcPr>
            <w:tcW w:w="1843" w:type="dxa"/>
            <w:tcBorders>
              <w:top w:val="nil"/>
              <w:left w:val="nil"/>
              <w:bottom w:val="nil"/>
              <w:right w:val="nil"/>
            </w:tcBorders>
            <w:shd w:val="clear" w:color="auto" w:fill="FFFFFF" w:themeFill="background1"/>
            <w:vAlign w:val="bottom"/>
          </w:tcPr>
          <w:p w:rsidR="004139C4" w:rsidRPr="00BE1DC2" w:rsidRDefault="00BE1DC2" w:rsidP="00A11D68">
            <w:pPr>
              <w:spacing w:before="120" w:afterLines="40" w:after="96"/>
              <w:jc w:val="both"/>
              <w:rPr>
                <w:rFonts w:ascii="Arial" w:hAnsi="Arial"/>
                <w:b/>
                <w:bCs/>
                <w:color w:val="000000"/>
                <w:sz w:val="16"/>
                <w:szCs w:val="24"/>
                <w:lang w:val="en-GB"/>
              </w:rPr>
            </w:pPr>
            <w:r w:rsidRPr="00BE1DC2">
              <w:rPr>
                <w:rFonts w:ascii="Arial" w:hAnsi="Arial"/>
                <w:b/>
                <w:bCs/>
                <w:color w:val="000000"/>
                <w:sz w:val="16"/>
                <w:szCs w:val="24"/>
                <w:lang w:val="en-GB"/>
              </w:rPr>
              <w:t>4.75</w:t>
            </w:r>
          </w:p>
        </w:tc>
        <w:tc>
          <w:tcPr>
            <w:tcW w:w="1842" w:type="dxa"/>
            <w:tcBorders>
              <w:top w:val="nil"/>
              <w:left w:val="nil"/>
              <w:bottom w:val="nil"/>
              <w:right w:val="nil"/>
            </w:tcBorders>
            <w:shd w:val="clear" w:color="auto" w:fill="FFFFFF" w:themeFill="background1"/>
            <w:vAlign w:val="bottom"/>
          </w:tcPr>
          <w:p w:rsidR="004139C4" w:rsidRPr="00BE1DC2" w:rsidRDefault="00BE1DC2" w:rsidP="00A11D68">
            <w:pPr>
              <w:spacing w:before="120" w:afterLines="40" w:after="96"/>
              <w:jc w:val="both"/>
              <w:rPr>
                <w:rFonts w:ascii="Arial" w:hAnsi="Arial"/>
                <w:b/>
                <w:bCs/>
                <w:color w:val="000000"/>
                <w:sz w:val="16"/>
                <w:szCs w:val="24"/>
                <w:lang w:val="en-GB"/>
              </w:rPr>
            </w:pPr>
            <w:r w:rsidRPr="00BE1DC2">
              <w:rPr>
                <w:rFonts w:ascii="Arial" w:hAnsi="Arial"/>
                <w:b/>
                <w:bCs/>
                <w:color w:val="000000"/>
                <w:sz w:val="16"/>
                <w:szCs w:val="24"/>
                <w:lang w:val="en-GB"/>
              </w:rPr>
              <w:t>4</w:t>
            </w:r>
          </w:p>
        </w:tc>
        <w:tc>
          <w:tcPr>
            <w:tcW w:w="1711" w:type="dxa"/>
            <w:tcBorders>
              <w:top w:val="nil"/>
              <w:left w:val="nil"/>
              <w:bottom w:val="nil"/>
              <w:right w:val="nil"/>
            </w:tcBorders>
            <w:shd w:val="clear" w:color="auto" w:fill="FFFFFF" w:themeFill="background1"/>
            <w:vAlign w:val="bottom"/>
          </w:tcPr>
          <w:p w:rsidR="004139C4" w:rsidRPr="00BE1DC2" w:rsidRDefault="00BE1DC2" w:rsidP="00A11D68">
            <w:pPr>
              <w:spacing w:before="120" w:afterLines="40" w:after="96"/>
              <w:jc w:val="both"/>
              <w:rPr>
                <w:rFonts w:ascii="Arial" w:hAnsi="Arial"/>
                <w:b/>
                <w:bCs/>
                <w:color w:val="000000"/>
                <w:sz w:val="16"/>
                <w:szCs w:val="24"/>
                <w:lang w:val="en-GB"/>
              </w:rPr>
            </w:pPr>
            <w:r w:rsidRPr="00BE1DC2">
              <w:rPr>
                <w:rFonts w:ascii="Arial" w:hAnsi="Arial"/>
                <w:b/>
                <w:bCs/>
                <w:color w:val="000000"/>
                <w:sz w:val="16"/>
                <w:szCs w:val="24"/>
                <w:lang w:val="en-GB"/>
              </w:rPr>
              <w:t>-0.75</w:t>
            </w:r>
          </w:p>
        </w:tc>
      </w:tr>
      <w:tr w:rsidR="004139C4" w:rsidTr="00D52C00">
        <w:trPr>
          <w:trHeight w:val="288"/>
          <w:jc w:val="center"/>
        </w:trPr>
        <w:tc>
          <w:tcPr>
            <w:tcW w:w="3740" w:type="dxa"/>
            <w:tcBorders>
              <w:top w:val="nil"/>
              <w:left w:val="nil"/>
              <w:bottom w:val="nil"/>
              <w:right w:val="nil"/>
            </w:tcBorders>
            <w:shd w:val="clear" w:color="auto" w:fill="DAEEF3" w:themeFill="accent5" w:themeFillTint="33"/>
            <w:vAlign w:val="bottom"/>
            <w:hideMark/>
          </w:tcPr>
          <w:p w:rsidR="004139C4" w:rsidRDefault="004139C4" w:rsidP="00A11D68">
            <w:pPr>
              <w:spacing w:before="120" w:afterLines="40" w:after="96"/>
              <w:jc w:val="both"/>
              <w:rPr>
                <w:rFonts w:ascii="Arial" w:hAnsi="Arial"/>
                <w:b/>
                <w:bCs/>
                <w:color w:val="000000"/>
                <w:sz w:val="16"/>
                <w:szCs w:val="24"/>
              </w:rPr>
            </w:pPr>
            <w:r>
              <w:rPr>
                <w:rFonts w:ascii="Arial" w:hAnsi="Arial"/>
                <w:b/>
                <w:bCs/>
                <w:color w:val="000000"/>
                <w:sz w:val="16"/>
                <w:szCs w:val="24"/>
                <w:lang w:val="en-GB"/>
              </w:rPr>
              <w:t xml:space="preserve">Other performance criteria </w:t>
            </w:r>
          </w:p>
        </w:tc>
        <w:tc>
          <w:tcPr>
            <w:tcW w:w="1843" w:type="dxa"/>
            <w:tcBorders>
              <w:top w:val="nil"/>
              <w:left w:val="nil"/>
              <w:bottom w:val="nil"/>
              <w:right w:val="nil"/>
            </w:tcBorders>
            <w:shd w:val="clear" w:color="auto" w:fill="DAEEF3" w:themeFill="accent5" w:themeFillTint="33"/>
            <w:vAlign w:val="bottom"/>
          </w:tcPr>
          <w:p w:rsidR="004139C4" w:rsidRDefault="004139C4" w:rsidP="00A11D68">
            <w:pPr>
              <w:spacing w:before="120" w:afterLines="40" w:after="96"/>
              <w:jc w:val="both"/>
              <w:rPr>
                <w:rFonts w:ascii="Arial" w:hAnsi="Arial"/>
                <w:color w:val="000000"/>
                <w:sz w:val="16"/>
                <w:szCs w:val="24"/>
                <w:lang w:val="en-GB"/>
              </w:rPr>
            </w:pPr>
          </w:p>
        </w:tc>
        <w:tc>
          <w:tcPr>
            <w:tcW w:w="1842" w:type="dxa"/>
            <w:tcBorders>
              <w:top w:val="nil"/>
              <w:left w:val="nil"/>
              <w:bottom w:val="nil"/>
              <w:right w:val="nil"/>
            </w:tcBorders>
            <w:shd w:val="clear" w:color="auto" w:fill="DAEEF3" w:themeFill="accent5" w:themeFillTint="33"/>
            <w:vAlign w:val="bottom"/>
            <w:hideMark/>
          </w:tcPr>
          <w:p w:rsidR="004139C4" w:rsidRDefault="004139C4" w:rsidP="00A11D68">
            <w:pPr>
              <w:spacing w:before="120" w:afterLines="40" w:after="96"/>
              <w:jc w:val="both"/>
              <w:rPr>
                <w:rFonts w:ascii="Arial" w:hAnsi="Arial"/>
                <w:color w:val="000000"/>
                <w:sz w:val="16"/>
                <w:szCs w:val="24"/>
              </w:rPr>
            </w:pPr>
            <w:r>
              <w:rPr>
                <w:rFonts w:ascii="Arial" w:hAnsi="Arial"/>
                <w:color w:val="000000"/>
                <w:sz w:val="16"/>
                <w:szCs w:val="24"/>
                <w:lang w:val="en-GB"/>
              </w:rPr>
              <w:t> </w:t>
            </w:r>
          </w:p>
        </w:tc>
        <w:tc>
          <w:tcPr>
            <w:tcW w:w="1711" w:type="dxa"/>
            <w:tcBorders>
              <w:top w:val="nil"/>
              <w:left w:val="nil"/>
              <w:bottom w:val="nil"/>
              <w:right w:val="nil"/>
            </w:tcBorders>
            <w:shd w:val="clear" w:color="auto" w:fill="DAEEF3" w:themeFill="accent5" w:themeFillTint="33"/>
            <w:vAlign w:val="bottom"/>
          </w:tcPr>
          <w:p w:rsidR="004139C4" w:rsidRDefault="004139C4" w:rsidP="00A11D68">
            <w:pPr>
              <w:spacing w:before="120" w:afterLines="40" w:after="96"/>
              <w:jc w:val="both"/>
              <w:rPr>
                <w:rFonts w:ascii="Arial" w:hAnsi="Arial"/>
                <w:color w:val="000000"/>
                <w:sz w:val="16"/>
                <w:szCs w:val="24"/>
                <w:lang w:val="en-GB"/>
              </w:rPr>
            </w:pPr>
          </w:p>
        </w:tc>
      </w:tr>
      <w:tr w:rsidR="0024669D" w:rsidTr="00D52C00">
        <w:trPr>
          <w:trHeight w:val="288"/>
          <w:jc w:val="center"/>
        </w:trPr>
        <w:tc>
          <w:tcPr>
            <w:tcW w:w="3740" w:type="dxa"/>
            <w:tcBorders>
              <w:top w:val="nil"/>
              <w:left w:val="nil"/>
              <w:bottom w:val="nil"/>
              <w:right w:val="nil"/>
            </w:tcBorders>
            <w:vAlign w:val="bottom"/>
            <w:hideMark/>
          </w:tcPr>
          <w:p w:rsidR="0024669D" w:rsidRDefault="0024669D" w:rsidP="00A11D68">
            <w:pPr>
              <w:spacing w:before="80" w:after="40"/>
              <w:jc w:val="both"/>
              <w:rPr>
                <w:rFonts w:ascii="Arial" w:hAnsi="Arial"/>
                <w:color w:val="000000"/>
                <w:sz w:val="16"/>
                <w:szCs w:val="24"/>
              </w:rPr>
            </w:pPr>
            <w:r>
              <w:rPr>
                <w:rFonts w:ascii="Arial" w:hAnsi="Arial"/>
                <w:color w:val="000000"/>
                <w:sz w:val="16"/>
                <w:szCs w:val="24"/>
                <w:lang w:val="en-GB"/>
              </w:rPr>
              <w:t>Gender equality and women's empowerment</w:t>
            </w:r>
          </w:p>
        </w:tc>
        <w:tc>
          <w:tcPr>
            <w:tcW w:w="1843" w:type="dxa"/>
            <w:tcBorders>
              <w:top w:val="nil"/>
              <w:left w:val="nil"/>
              <w:bottom w:val="nil"/>
              <w:right w:val="nil"/>
            </w:tcBorders>
            <w:vAlign w:val="bottom"/>
          </w:tcPr>
          <w:p w:rsidR="0024669D"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4</w:t>
            </w:r>
          </w:p>
        </w:tc>
        <w:tc>
          <w:tcPr>
            <w:tcW w:w="1842" w:type="dxa"/>
            <w:tcBorders>
              <w:top w:val="nil"/>
              <w:left w:val="nil"/>
              <w:bottom w:val="nil"/>
              <w:right w:val="nil"/>
            </w:tcBorders>
            <w:vAlign w:val="bottom"/>
          </w:tcPr>
          <w:p w:rsidR="0024669D" w:rsidRDefault="00C40CA0" w:rsidP="00A11D68">
            <w:pPr>
              <w:spacing w:before="80" w:after="40"/>
              <w:jc w:val="both"/>
              <w:rPr>
                <w:rFonts w:ascii="Arial" w:hAnsi="Arial"/>
                <w:color w:val="000000"/>
                <w:sz w:val="16"/>
                <w:szCs w:val="24"/>
              </w:rPr>
            </w:pPr>
            <w:r>
              <w:rPr>
                <w:rFonts w:ascii="Arial" w:hAnsi="Arial"/>
                <w:color w:val="000000"/>
                <w:sz w:val="16"/>
                <w:szCs w:val="24"/>
              </w:rPr>
              <w:t>4</w:t>
            </w:r>
          </w:p>
        </w:tc>
        <w:tc>
          <w:tcPr>
            <w:tcW w:w="1711" w:type="dxa"/>
            <w:tcBorders>
              <w:top w:val="nil"/>
              <w:left w:val="nil"/>
              <w:bottom w:val="nil"/>
              <w:right w:val="nil"/>
            </w:tcBorders>
            <w:vAlign w:val="bottom"/>
          </w:tcPr>
          <w:p w:rsidR="0024669D" w:rsidRDefault="004D5228" w:rsidP="00A11D68">
            <w:pPr>
              <w:spacing w:before="80" w:after="40"/>
              <w:jc w:val="both"/>
              <w:rPr>
                <w:rFonts w:ascii="Arial" w:hAnsi="Arial"/>
                <w:color w:val="000000"/>
                <w:sz w:val="16"/>
                <w:szCs w:val="24"/>
                <w:lang w:val="en-GB"/>
              </w:rPr>
            </w:pPr>
            <w:r>
              <w:rPr>
                <w:rFonts w:ascii="Arial" w:hAnsi="Arial"/>
                <w:color w:val="000000"/>
                <w:sz w:val="16"/>
                <w:szCs w:val="24"/>
                <w:lang w:val="en-GB"/>
              </w:rPr>
              <w:t>0</w:t>
            </w:r>
          </w:p>
        </w:tc>
      </w:tr>
      <w:tr w:rsidR="0024669D" w:rsidTr="00D52C00">
        <w:trPr>
          <w:trHeight w:val="300"/>
          <w:jc w:val="center"/>
        </w:trPr>
        <w:tc>
          <w:tcPr>
            <w:tcW w:w="3740" w:type="dxa"/>
            <w:tcBorders>
              <w:top w:val="nil"/>
              <w:left w:val="nil"/>
              <w:bottom w:val="nil"/>
              <w:right w:val="nil"/>
            </w:tcBorders>
            <w:vAlign w:val="bottom"/>
            <w:hideMark/>
          </w:tcPr>
          <w:p w:rsidR="0024669D" w:rsidRDefault="00CB2352" w:rsidP="00A11D68">
            <w:pPr>
              <w:spacing w:before="80" w:after="40"/>
              <w:jc w:val="both"/>
              <w:rPr>
                <w:rFonts w:ascii="Arial" w:hAnsi="Arial"/>
                <w:color w:val="000000"/>
                <w:sz w:val="16"/>
                <w:szCs w:val="24"/>
              </w:rPr>
            </w:pPr>
            <w:r>
              <w:rPr>
                <w:rFonts w:ascii="Arial" w:hAnsi="Arial"/>
                <w:color w:val="000000"/>
                <w:sz w:val="16"/>
                <w:szCs w:val="24"/>
                <w:lang w:val="en-GB"/>
              </w:rPr>
              <w:t>Innovation</w:t>
            </w:r>
          </w:p>
        </w:tc>
        <w:tc>
          <w:tcPr>
            <w:tcW w:w="1843" w:type="dxa"/>
            <w:tcBorders>
              <w:top w:val="nil"/>
              <w:left w:val="nil"/>
              <w:bottom w:val="nil"/>
              <w:right w:val="nil"/>
            </w:tcBorders>
            <w:vAlign w:val="bottom"/>
          </w:tcPr>
          <w:p w:rsidR="0024669D" w:rsidRDefault="00437515" w:rsidP="00A11D68">
            <w:pPr>
              <w:spacing w:before="80" w:after="40"/>
              <w:jc w:val="both"/>
              <w:rPr>
                <w:rFonts w:ascii="Arial" w:hAnsi="Arial"/>
                <w:color w:val="000000"/>
                <w:sz w:val="16"/>
                <w:szCs w:val="24"/>
                <w:lang w:val="en-GB"/>
              </w:rPr>
            </w:pPr>
            <w:r>
              <w:rPr>
                <w:rFonts w:ascii="Arial" w:hAnsi="Arial"/>
                <w:color w:val="000000"/>
                <w:sz w:val="16"/>
                <w:szCs w:val="24"/>
                <w:lang w:val="en-GB"/>
              </w:rPr>
              <w:t>4</w:t>
            </w:r>
          </w:p>
        </w:tc>
        <w:tc>
          <w:tcPr>
            <w:tcW w:w="1842" w:type="dxa"/>
            <w:tcBorders>
              <w:top w:val="nil"/>
              <w:left w:val="nil"/>
              <w:bottom w:val="nil"/>
              <w:right w:val="nil"/>
            </w:tcBorders>
            <w:vAlign w:val="bottom"/>
          </w:tcPr>
          <w:p w:rsidR="0024669D" w:rsidRDefault="00437515" w:rsidP="00A11D68">
            <w:pPr>
              <w:spacing w:before="80" w:after="40"/>
              <w:jc w:val="both"/>
              <w:rPr>
                <w:rFonts w:ascii="Arial" w:hAnsi="Arial"/>
                <w:color w:val="000000"/>
                <w:sz w:val="16"/>
                <w:szCs w:val="24"/>
              </w:rPr>
            </w:pPr>
            <w:r>
              <w:rPr>
                <w:rFonts w:ascii="Arial" w:hAnsi="Arial"/>
                <w:color w:val="000000"/>
                <w:sz w:val="16"/>
                <w:szCs w:val="24"/>
              </w:rPr>
              <w:t>5</w:t>
            </w:r>
          </w:p>
        </w:tc>
        <w:tc>
          <w:tcPr>
            <w:tcW w:w="1711" w:type="dxa"/>
            <w:tcBorders>
              <w:top w:val="nil"/>
              <w:left w:val="nil"/>
              <w:bottom w:val="nil"/>
              <w:right w:val="nil"/>
            </w:tcBorders>
            <w:vAlign w:val="bottom"/>
          </w:tcPr>
          <w:p w:rsidR="0024669D" w:rsidRDefault="00437515" w:rsidP="00A11D68">
            <w:pPr>
              <w:spacing w:before="80" w:after="40"/>
              <w:jc w:val="both"/>
              <w:rPr>
                <w:rFonts w:ascii="Arial" w:hAnsi="Arial"/>
                <w:color w:val="000000"/>
                <w:sz w:val="16"/>
                <w:szCs w:val="24"/>
                <w:lang w:val="en-GB"/>
              </w:rPr>
            </w:pPr>
            <w:r>
              <w:rPr>
                <w:rFonts w:ascii="Arial" w:hAnsi="Arial"/>
                <w:color w:val="000000"/>
                <w:sz w:val="16"/>
                <w:szCs w:val="24"/>
                <w:lang w:val="en-GB"/>
              </w:rPr>
              <w:t>+1</w:t>
            </w:r>
          </w:p>
        </w:tc>
      </w:tr>
      <w:tr w:rsidR="00CB2352" w:rsidTr="00D52C00">
        <w:trPr>
          <w:trHeight w:val="300"/>
          <w:jc w:val="center"/>
        </w:trPr>
        <w:tc>
          <w:tcPr>
            <w:tcW w:w="3740" w:type="dxa"/>
            <w:tcBorders>
              <w:top w:val="nil"/>
              <w:left w:val="nil"/>
              <w:bottom w:val="nil"/>
              <w:right w:val="nil"/>
            </w:tcBorders>
            <w:vAlign w:val="bottom"/>
          </w:tcPr>
          <w:p w:rsidR="00CB2352" w:rsidRDefault="00CB2352" w:rsidP="00A11D68">
            <w:pPr>
              <w:spacing w:before="80" w:after="40"/>
              <w:jc w:val="both"/>
              <w:rPr>
                <w:rFonts w:ascii="Arial" w:hAnsi="Arial"/>
                <w:color w:val="000000"/>
                <w:sz w:val="16"/>
                <w:szCs w:val="24"/>
                <w:lang w:val="en-GB"/>
              </w:rPr>
            </w:pPr>
            <w:r>
              <w:rPr>
                <w:rFonts w:ascii="Arial" w:hAnsi="Arial"/>
                <w:color w:val="000000"/>
                <w:sz w:val="16"/>
                <w:szCs w:val="24"/>
                <w:lang w:val="en-GB"/>
              </w:rPr>
              <w:t>Scaling up</w:t>
            </w:r>
          </w:p>
        </w:tc>
        <w:tc>
          <w:tcPr>
            <w:tcW w:w="1843" w:type="dxa"/>
            <w:tcBorders>
              <w:top w:val="nil"/>
              <w:left w:val="nil"/>
              <w:bottom w:val="nil"/>
              <w:right w:val="nil"/>
            </w:tcBorders>
            <w:vAlign w:val="bottom"/>
          </w:tcPr>
          <w:p w:rsidR="00CB2352"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5</w:t>
            </w:r>
          </w:p>
        </w:tc>
        <w:tc>
          <w:tcPr>
            <w:tcW w:w="1842" w:type="dxa"/>
            <w:tcBorders>
              <w:top w:val="nil"/>
              <w:left w:val="nil"/>
              <w:bottom w:val="nil"/>
              <w:right w:val="nil"/>
            </w:tcBorders>
            <w:vAlign w:val="bottom"/>
          </w:tcPr>
          <w:p w:rsidR="00CB2352" w:rsidRDefault="004D5228" w:rsidP="00A11D68">
            <w:pPr>
              <w:spacing w:before="80" w:after="40"/>
              <w:jc w:val="both"/>
              <w:rPr>
                <w:rFonts w:ascii="Arial" w:hAnsi="Arial"/>
                <w:color w:val="000000"/>
                <w:sz w:val="16"/>
                <w:szCs w:val="24"/>
              </w:rPr>
            </w:pPr>
            <w:r>
              <w:rPr>
                <w:rFonts w:ascii="Arial" w:hAnsi="Arial"/>
                <w:color w:val="000000"/>
                <w:sz w:val="16"/>
                <w:szCs w:val="24"/>
              </w:rPr>
              <w:t>5</w:t>
            </w:r>
          </w:p>
        </w:tc>
        <w:tc>
          <w:tcPr>
            <w:tcW w:w="1711" w:type="dxa"/>
            <w:tcBorders>
              <w:top w:val="nil"/>
              <w:left w:val="nil"/>
              <w:bottom w:val="nil"/>
              <w:right w:val="nil"/>
            </w:tcBorders>
            <w:vAlign w:val="bottom"/>
          </w:tcPr>
          <w:p w:rsidR="00CB2352" w:rsidRDefault="004D5228" w:rsidP="00A11D68">
            <w:pPr>
              <w:spacing w:before="80" w:after="40"/>
              <w:jc w:val="both"/>
              <w:rPr>
                <w:rFonts w:ascii="Arial" w:hAnsi="Arial"/>
                <w:color w:val="000000"/>
                <w:sz w:val="16"/>
                <w:szCs w:val="24"/>
                <w:lang w:val="en-GB"/>
              </w:rPr>
            </w:pPr>
            <w:r>
              <w:rPr>
                <w:rFonts w:ascii="Arial" w:hAnsi="Arial"/>
                <w:color w:val="000000"/>
                <w:sz w:val="16"/>
                <w:szCs w:val="24"/>
                <w:lang w:val="en-GB"/>
              </w:rPr>
              <w:t>0</w:t>
            </w:r>
          </w:p>
        </w:tc>
      </w:tr>
      <w:tr w:rsidR="004139C4" w:rsidTr="00D52C00">
        <w:trPr>
          <w:trHeight w:val="288"/>
          <w:jc w:val="center"/>
        </w:trPr>
        <w:tc>
          <w:tcPr>
            <w:tcW w:w="3740" w:type="dxa"/>
            <w:tcBorders>
              <w:top w:val="nil"/>
              <w:left w:val="nil"/>
              <w:bottom w:val="nil"/>
              <w:right w:val="nil"/>
            </w:tcBorders>
            <w:vAlign w:val="bottom"/>
            <w:hideMark/>
          </w:tcPr>
          <w:p w:rsidR="004139C4" w:rsidRDefault="004139C4" w:rsidP="00A11D68">
            <w:pPr>
              <w:spacing w:before="80" w:after="40"/>
              <w:jc w:val="both"/>
              <w:rPr>
                <w:rFonts w:ascii="Arial" w:hAnsi="Arial"/>
                <w:color w:val="000000"/>
                <w:sz w:val="16"/>
                <w:szCs w:val="24"/>
                <w:lang w:val="en-GB"/>
              </w:rPr>
            </w:pPr>
            <w:r>
              <w:rPr>
                <w:rFonts w:ascii="Arial" w:hAnsi="Arial"/>
                <w:color w:val="000000"/>
                <w:sz w:val="16"/>
                <w:szCs w:val="24"/>
                <w:lang w:val="en-GB"/>
              </w:rPr>
              <w:t>Environment and natural resources management</w:t>
            </w:r>
          </w:p>
        </w:tc>
        <w:tc>
          <w:tcPr>
            <w:tcW w:w="1843"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5</w:t>
            </w:r>
          </w:p>
        </w:tc>
        <w:tc>
          <w:tcPr>
            <w:tcW w:w="1842" w:type="dxa"/>
            <w:tcBorders>
              <w:top w:val="nil"/>
              <w:left w:val="nil"/>
              <w:bottom w:val="nil"/>
              <w:right w:val="nil"/>
            </w:tcBorders>
            <w:vAlign w:val="bottom"/>
          </w:tcPr>
          <w:p w:rsidR="004139C4" w:rsidRDefault="004D5228" w:rsidP="00A11D68">
            <w:pPr>
              <w:spacing w:before="80" w:after="40"/>
              <w:jc w:val="both"/>
              <w:rPr>
                <w:rFonts w:ascii="Arial" w:hAnsi="Arial"/>
                <w:color w:val="000000"/>
                <w:sz w:val="16"/>
                <w:szCs w:val="24"/>
                <w:lang w:val="en-GB"/>
              </w:rPr>
            </w:pPr>
            <w:r>
              <w:rPr>
                <w:rFonts w:ascii="Arial" w:hAnsi="Arial"/>
                <w:color w:val="000000"/>
                <w:sz w:val="16"/>
                <w:szCs w:val="24"/>
                <w:lang w:val="en-GB"/>
              </w:rPr>
              <w:t>5</w:t>
            </w:r>
          </w:p>
        </w:tc>
        <w:tc>
          <w:tcPr>
            <w:tcW w:w="1711" w:type="dxa"/>
            <w:tcBorders>
              <w:top w:val="nil"/>
              <w:left w:val="nil"/>
              <w:bottom w:val="nil"/>
              <w:right w:val="nil"/>
            </w:tcBorders>
            <w:vAlign w:val="bottom"/>
          </w:tcPr>
          <w:p w:rsidR="004139C4" w:rsidRDefault="004D5228" w:rsidP="00A11D68">
            <w:pPr>
              <w:spacing w:before="80" w:after="40"/>
              <w:jc w:val="both"/>
              <w:rPr>
                <w:rFonts w:ascii="Arial" w:hAnsi="Arial"/>
                <w:color w:val="000000"/>
                <w:sz w:val="16"/>
                <w:szCs w:val="24"/>
                <w:lang w:val="en-GB"/>
              </w:rPr>
            </w:pPr>
            <w:r>
              <w:rPr>
                <w:rFonts w:ascii="Arial" w:hAnsi="Arial"/>
                <w:color w:val="000000"/>
                <w:sz w:val="16"/>
                <w:szCs w:val="24"/>
                <w:lang w:val="en-GB"/>
              </w:rPr>
              <w:t>0</w:t>
            </w:r>
          </w:p>
        </w:tc>
      </w:tr>
      <w:tr w:rsidR="004139C4" w:rsidTr="00D52C00">
        <w:trPr>
          <w:trHeight w:val="288"/>
          <w:jc w:val="center"/>
        </w:trPr>
        <w:tc>
          <w:tcPr>
            <w:tcW w:w="3740" w:type="dxa"/>
            <w:tcBorders>
              <w:top w:val="nil"/>
              <w:left w:val="nil"/>
              <w:bottom w:val="single" w:sz="4" w:space="0" w:color="auto"/>
              <w:right w:val="nil"/>
            </w:tcBorders>
            <w:vAlign w:val="bottom"/>
          </w:tcPr>
          <w:p w:rsidR="004139C4" w:rsidRDefault="004139C4" w:rsidP="00A11D68">
            <w:pPr>
              <w:spacing w:before="80" w:after="40"/>
              <w:jc w:val="both"/>
              <w:rPr>
                <w:rFonts w:ascii="Arial" w:hAnsi="Arial"/>
                <w:color w:val="000000"/>
                <w:sz w:val="16"/>
                <w:szCs w:val="24"/>
                <w:lang w:val="en-GB"/>
              </w:rPr>
            </w:pPr>
            <w:r>
              <w:rPr>
                <w:rFonts w:ascii="Arial" w:hAnsi="Arial"/>
                <w:color w:val="000000"/>
                <w:sz w:val="16"/>
                <w:szCs w:val="24"/>
                <w:lang w:val="en-GB"/>
              </w:rPr>
              <w:t>Adaptation to climate change</w:t>
            </w:r>
          </w:p>
        </w:tc>
        <w:tc>
          <w:tcPr>
            <w:tcW w:w="1843" w:type="dxa"/>
            <w:tcBorders>
              <w:top w:val="nil"/>
              <w:left w:val="nil"/>
              <w:bottom w:val="single" w:sz="4" w:space="0" w:color="auto"/>
              <w:right w:val="nil"/>
            </w:tcBorders>
            <w:vAlign w:val="bottom"/>
          </w:tcPr>
          <w:p w:rsidR="004139C4"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5</w:t>
            </w:r>
          </w:p>
        </w:tc>
        <w:tc>
          <w:tcPr>
            <w:tcW w:w="1842" w:type="dxa"/>
            <w:tcBorders>
              <w:top w:val="nil"/>
              <w:left w:val="nil"/>
              <w:bottom w:val="single" w:sz="4" w:space="0" w:color="auto"/>
              <w:right w:val="nil"/>
            </w:tcBorders>
            <w:vAlign w:val="bottom"/>
          </w:tcPr>
          <w:p w:rsidR="004139C4" w:rsidRDefault="004D5228" w:rsidP="00A11D68">
            <w:pPr>
              <w:spacing w:before="80" w:after="40"/>
              <w:jc w:val="both"/>
              <w:rPr>
                <w:rFonts w:ascii="Arial" w:hAnsi="Arial"/>
                <w:color w:val="000000"/>
                <w:sz w:val="16"/>
                <w:szCs w:val="24"/>
                <w:lang w:val="en-GB"/>
              </w:rPr>
            </w:pPr>
            <w:r>
              <w:rPr>
                <w:rFonts w:ascii="Arial" w:hAnsi="Arial"/>
                <w:color w:val="000000"/>
                <w:sz w:val="16"/>
                <w:szCs w:val="24"/>
                <w:lang w:val="en-GB"/>
              </w:rPr>
              <w:t>5</w:t>
            </w:r>
          </w:p>
        </w:tc>
        <w:tc>
          <w:tcPr>
            <w:tcW w:w="1711" w:type="dxa"/>
            <w:tcBorders>
              <w:top w:val="nil"/>
              <w:left w:val="nil"/>
              <w:bottom w:val="single" w:sz="4" w:space="0" w:color="auto"/>
              <w:right w:val="nil"/>
            </w:tcBorders>
            <w:vAlign w:val="bottom"/>
          </w:tcPr>
          <w:p w:rsidR="004139C4" w:rsidRDefault="004D5228" w:rsidP="00A11D68">
            <w:pPr>
              <w:spacing w:before="80" w:after="40"/>
              <w:jc w:val="both"/>
              <w:rPr>
                <w:rFonts w:ascii="Arial" w:hAnsi="Arial"/>
                <w:color w:val="000000"/>
                <w:sz w:val="16"/>
                <w:szCs w:val="24"/>
                <w:lang w:val="en-GB"/>
              </w:rPr>
            </w:pPr>
            <w:r>
              <w:rPr>
                <w:rFonts w:ascii="Arial" w:hAnsi="Arial"/>
                <w:color w:val="000000"/>
                <w:sz w:val="16"/>
                <w:szCs w:val="24"/>
                <w:lang w:val="en-GB"/>
              </w:rPr>
              <w:t>0</w:t>
            </w:r>
          </w:p>
        </w:tc>
      </w:tr>
      <w:tr w:rsidR="004139C4" w:rsidTr="00D52C00">
        <w:trPr>
          <w:trHeight w:val="288"/>
          <w:jc w:val="center"/>
        </w:trPr>
        <w:tc>
          <w:tcPr>
            <w:tcW w:w="3740" w:type="dxa"/>
            <w:tcBorders>
              <w:top w:val="single" w:sz="4" w:space="0" w:color="auto"/>
              <w:left w:val="nil"/>
              <w:bottom w:val="single" w:sz="4" w:space="0" w:color="auto"/>
              <w:right w:val="nil"/>
            </w:tcBorders>
            <w:shd w:val="clear" w:color="auto" w:fill="EAF1DD" w:themeFill="accent3" w:themeFillTint="33"/>
            <w:vAlign w:val="bottom"/>
            <w:hideMark/>
          </w:tcPr>
          <w:p w:rsidR="004139C4" w:rsidRDefault="004139C4" w:rsidP="00A11D68">
            <w:pPr>
              <w:spacing w:before="120" w:afterLines="40" w:after="96"/>
              <w:jc w:val="both"/>
              <w:rPr>
                <w:rFonts w:ascii="Arial" w:hAnsi="Arial"/>
                <w:b/>
                <w:bCs/>
                <w:color w:val="000000"/>
                <w:sz w:val="16"/>
                <w:szCs w:val="24"/>
                <w:lang w:val="en-GB"/>
              </w:rPr>
            </w:pPr>
            <w:r>
              <w:rPr>
                <w:rFonts w:ascii="Arial" w:hAnsi="Arial"/>
                <w:b/>
                <w:bCs/>
                <w:color w:val="000000"/>
                <w:sz w:val="16"/>
                <w:szCs w:val="24"/>
                <w:lang w:val="en-GB"/>
              </w:rPr>
              <w:t xml:space="preserve">Overall project </w:t>
            </w:r>
            <w:proofErr w:type="spellStart"/>
            <w:r>
              <w:rPr>
                <w:rFonts w:ascii="Arial" w:hAnsi="Arial"/>
                <w:b/>
                <w:bCs/>
                <w:color w:val="000000"/>
                <w:sz w:val="16"/>
                <w:szCs w:val="24"/>
                <w:lang w:val="en-GB"/>
              </w:rPr>
              <w:t>achievement</w:t>
            </w:r>
            <w:r>
              <w:rPr>
                <w:rFonts w:ascii="Arial" w:hAnsi="Arial"/>
                <w:b/>
                <w:bCs/>
                <w:color w:val="000000"/>
                <w:vertAlign w:val="superscript"/>
                <w:lang w:val="en-GB"/>
              </w:rPr>
              <w:t>c</w:t>
            </w:r>
            <w:proofErr w:type="spellEnd"/>
          </w:p>
        </w:tc>
        <w:tc>
          <w:tcPr>
            <w:tcW w:w="1843" w:type="dxa"/>
            <w:tcBorders>
              <w:top w:val="single" w:sz="4" w:space="0" w:color="auto"/>
              <w:left w:val="nil"/>
              <w:bottom w:val="single" w:sz="4" w:space="0" w:color="auto"/>
              <w:right w:val="nil"/>
            </w:tcBorders>
            <w:shd w:val="clear" w:color="auto" w:fill="EAF1DD" w:themeFill="accent3" w:themeFillTint="33"/>
            <w:vAlign w:val="bottom"/>
          </w:tcPr>
          <w:p w:rsidR="004139C4" w:rsidRDefault="00C40CA0" w:rsidP="00A11D68">
            <w:pPr>
              <w:spacing w:before="120" w:afterLines="40" w:after="96"/>
              <w:jc w:val="both"/>
              <w:rPr>
                <w:rFonts w:ascii="Arial" w:hAnsi="Arial"/>
                <w:b/>
                <w:bCs/>
                <w:color w:val="000000"/>
                <w:sz w:val="16"/>
                <w:szCs w:val="24"/>
              </w:rPr>
            </w:pPr>
            <w:r>
              <w:rPr>
                <w:rFonts w:ascii="Arial" w:hAnsi="Arial"/>
                <w:b/>
                <w:bCs/>
                <w:color w:val="000000"/>
                <w:sz w:val="16"/>
                <w:szCs w:val="24"/>
              </w:rPr>
              <w:t>5</w:t>
            </w:r>
          </w:p>
        </w:tc>
        <w:tc>
          <w:tcPr>
            <w:tcW w:w="1842" w:type="dxa"/>
            <w:tcBorders>
              <w:top w:val="single" w:sz="4" w:space="0" w:color="auto"/>
              <w:left w:val="nil"/>
              <w:bottom w:val="single" w:sz="4" w:space="0" w:color="auto"/>
              <w:right w:val="nil"/>
            </w:tcBorders>
            <w:shd w:val="clear" w:color="auto" w:fill="EAF1DD" w:themeFill="accent3" w:themeFillTint="33"/>
            <w:vAlign w:val="bottom"/>
          </w:tcPr>
          <w:p w:rsidR="004139C4" w:rsidRDefault="00BE1DC2" w:rsidP="0030049B">
            <w:pPr>
              <w:spacing w:before="120" w:afterLines="40" w:after="96"/>
              <w:jc w:val="both"/>
              <w:rPr>
                <w:rFonts w:ascii="Arial" w:hAnsi="Arial"/>
                <w:b/>
                <w:bCs/>
                <w:color w:val="000000"/>
                <w:sz w:val="16"/>
                <w:szCs w:val="24"/>
                <w:lang w:val="en-GB"/>
              </w:rPr>
            </w:pPr>
            <w:r>
              <w:rPr>
                <w:rFonts w:ascii="Arial" w:hAnsi="Arial"/>
                <w:b/>
                <w:bCs/>
                <w:color w:val="000000"/>
                <w:sz w:val="16"/>
                <w:szCs w:val="24"/>
                <w:lang w:val="en-GB"/>
              </w:rPr>
              <w:t>4</w:t>
            </w:r>
          </w:p>
        </w:tc>
        <w:tc>
          <w:tcPr>
            <w:tcW w:w="1711" w:type="dxa"/>
            <w:tcBorders>
              <w:top w:val="single" w:sz="4" w:space="0" w:color="auto"/>
              <w:left w:val="nil"/>
              <w:bottom w:val="single" w:sz="4" w:space="0" w:color="auto"/>
              <w:right w:val="nil"/>
            </w:tcBorders>
            <w:shd w:val="clear" w:color="auto" w:fill="EAF1DD" w:themeFill="accent3" w:themeFillTint="33"/>
            <w:vAlign w:val="bottom"/>
          </w:tcPr>
          <w:p w:rsidR="004139C4" w:rsidRDefault="00BE1DC2" w:rsidP="00BE1DC2">
            <w:pPr>
              <w:spacing w:before="120" w:afterLines="40" w:after="96"/>
              <w:jc w:val="both"/>
              <w:rPr>
                <w:rFonts w:ascii="Arial" w:hAnsi="Arial"/>
                <w:b/>
                <w:bCs/>
                <w:color w:val="000000"/>
                <w:sz w:val="16"/>
                <w:szCs w:val="24"/>
              </w:rPr>
            </w:pPr>
            <w:r>
              <w:rPr>
                <w:rFonts w:ascii="Arial" w:hAnsi="Arial"/>
                <w:b/>
                <w:bCs/>
                <w:color w:val="000000"/>
                <w:sz w:val="16"/>
                <w:szCs w:val="24"/>
              </w:rPr>
              <w:t>-1</w:t>
            </w:r>
          </w:p>
        </w:tc>
      </w:tr>
      <w:tr w:rsidR="004139C4" w:rsidTr="00D52C00">
        <w:trPr>
          <w:trHeight w:val="288"/>
          <w:jc w:val="center"/>
        </w:trPr>
        <w:tc>
          <w:tcPr>
            <w:tcW w:w="3740" w:type="dxa"/>
            <w:tcBorders>
              <w:top w:val="single" w:sz="4" w:space="0" w:color="auto"/>
              <w:left w:val="nil"/>
              <w:bottom w:val="nil"/>
              <w:right w:val="nil"/>
            </w:tcBorders>
            <w:vAlign w:val="bottom"/>
          </w:tcPr>
          <w:p w:rsidR="004139C4" w:rsidRDefault="004139C4" w:rsidP="00A11D68">
            <w:pPr>
              <w:jc w:val="both"/>
              <w:rPr>
                <w:rFonts w:ascii="Arial" w:hAnsi="Arial"/>
                <w:b/>
                <w:bCs/>
                <w:color w:val="000000"/>
                <w:sz w:val="16"/>
                <w:szCs w:val="24"/>
                <w:lang w:val="en-GB"/>
              </w:rPr>
            </w:pPr>
          </w:p>
        </w:tc>
        <w:tc>
          <w:tcPr>
            <w:tcW w:w="1843" w:type="dxa"/>
            <w:tcBorders>
              <w:top w:val="single" w:sz="4" w:space="0" w:color="auto"/>
              <w:left w:val="nil"/>
              <w:bottom w:val="nil"/>
              <w:right w:val="nil"/>
            </w:tcBorders>
            <w:vAlign w:val="bottom"/>
          </w:tcPr>
          <w:p w:rsidR="004139C4" w:rsidRDefault="004139C4" w:rsidP="00A11D68">
            <w:pPr>
              <w:jc w:val="both"/>
              <w:rPr>
                <w:rFonts w:ascii="Arial" w:hAnsi="Arial"/>
                <w:color w:val="000000"/>
                <w:sz w:val="16"/>
                <w:szCs w:val="24"/>
                <w:lang w:val="en-GB"/>
              </w:rPr>
            </w:pPr>
          </w:p>
        </w:tc>
        <w:tc>
          <w:tcPr>
            <w:tcW w:w="1842" w:type="dxa"/>
            <w:tcBorders>
              <w:top w:val="single" w:sz="4" w:space="0" w:color="auto"/>
              <w:left w:val="nil"/>
              <w:bottom w:val="nil"/>
              <w:right w:val="nil"/>
            </w:tcBorders>
            <w:vAlign w:val="bottom"/>
          </w:tcPr>
          <w:p w:rsidR="004139C4" w:rsidRDefault="004139C4" w:rsidP="00A11D68">
            <w:pPr>
              <w:jc w:val="both"/>
              <w:rPr>
                <w:rFonts w:ascii="Arial" w:hAnsi="Arial"/>
                <w:color w:val="000000"/>
                <w:sz w:val="16"/>
                <w:szCs w:val="24"/>
                <w:lang w:val="en-GB"/>
              </w:rPr>
            </w:pPr>
          </w:p>
        </w:tc>
        <w:tc>
          <w:tcPr>
            <w:tcW w:w="1711" w:type="dxa"/>
            <w:tcBorders>
              <w:top w:val="single" w:sz="4" w:space="0" w:color="auto"/>
              <w:left w:val="nil"/>
              <w:bottom w:val="nil"/>
              <w:right w:val="nil"/>
            </w:tcBorders>
            <w:vAlign w:val="bottom"/>
          </w:tcPr>
          <w:p w:rsidR="004139C4" w:rsidRDefault="004139C4" w:rsidP="00A11D68">
            <w:pPr>
              <w:jc w:val="both"/>
              <w:rPr>
                <w:rFonts w:ascii="Arial" w:hAnsi="Arial"/>
                <w:color w:val="000000"/>
                <w:sz w:val="16"/>
                <w:szCs w:val="24"/>
                <w:lang w:val="en-GB"/>
              </w:rPr>
            </w:pPr>
          </w:p>
        </w:tc>
      </w:tr>
      <w:tr w:rsidR="004139C4" w:rsidTr="00D52C00">
        <w:trPr>
          <w:trHeight w:val="288"/>
          <w:jc w:val="center"/>
        </w:trPr>
        <w:tc>
          <w:tcPr>
            <w:tcW w:w="3740" w:type="dxa"/>
            <w:tcBorders>
              <w:top w:val="nil"/>
              <w:left w:val="nil"/>
              <w:bottom w:val="nil"/>
              <w:right w:val="nil"/>
            </w:tcBorders>
            <w:shd w:val="clear" w:color="auto" w:fill="DAEEF3" w:themeFill="accent5" w:themeFillTint="33"/>
            <w:vAlign w:val="bottom"/>
            <w:hideMark/>
          </w:tcPr>
          <w:p w:rsidR="004139C4" w:rsidRDefault="004139C4" w:rsidP="00A11D68">
            <w:pPr>
              <w:spacing w:before="120" w:afterLines="40" w:after="96"/>
              <w:jc w:val="both"/>
              <w:rPr>
                <w:rFonts w:ascii="Arial" w:hAnsi="Arial"/>
                <w:b/>
                <w:bCs/>
                <w:color w:val="000000"/>
                <w:sz w:val="16"/>
                <w:szCs w:val="24"/>
              </w:rPr>
            </w:pPr>
            <w:r>
              <w:rPr>
                <w:rFonts w:ascii="Arial" w:hAnsi="Arial"/>
                <w:b/>
                <w:bCs/>
                <w:color w:val="000000"/>
                <w:sz w:val="16"/>
                <w:szCs w:val="24"/>
                <w:lang w:val="en-GB"/>
              </w:rPr>
              <w:t xml:space="preserve">Performance of </w:t>
            </w:r>
            <w:proofErr w:type="spellStart"/>
            <w:r>
              <w:rPr>
                <w:rFonts w:ascii="Arial" w:hAnsi="Arial"/>
                <w:b/>
                <w:bCs/>
                <w:color w:val="000000"/>
                <w:sz w:val="16"/>
                <w:szCs w:val="24"/>
                <w:lang w:val="en-GB"/>
              </w:rPr>
              <w:t>partners</w:t>
            </w:r>
            <w:r>
              <w:rPr>
                <w:rFonts w:ascii="Arial" w:hAnsi="Arial"/>
                <w:b/>
                <w:bCs/>
                <w:color w:val="000000"/>
                <w:vertAlign w:val="superscript"/>
                <w:lang w:val="en-GB"/>
              </w:rPr>
              <w:t>d</w:t>
            </w:r>
            <w:proofErr w:type="spellEnd"/>
          </w:p>
        </w:tc>
        <w:tc>
          <w:tcPr>
            <w:tcW w:w="1843" w:type="dxa"/>
            <w:tcBorders>
              <w:top w:val="nil"/>
              <w:left w:val="nil"/>
              <w:bottom w:val="nil"/>
              <w:right w:val="nil"/>
            </w:tcBorders>
            <w:shd w:val="clear" w:color="auto" w:fill="DAEEF3" w:themeFill="accent5" w:themeFillTint="33"/>
            <w:vAlign w:val="bottom"/>
          </w:tcPr>
          <w:p w:rsidR="004139C4" w:rsidRDefault="004139C4" w:rsidP="00A11D68">
            <w:pPr>
              <w:spacing w:before="120" w:afterLines="40" w:after="96"/>
              <w:jc w:val="both"/>
              <w:rPr>
                <w:rFonts w:ascii="Arial" w:hAnsi="Arial"/>
                <w:color w:val="000000"/>
                <w:sz w:val="16"/>
                <w:szCs w:val="24"/>
                <w:lang w:val="en-GB"/>
              </w:rPr>
            </w:pPr>
          </w:p>
        </w:tc>
        <w:tc>
          <w:tcPr>
            <w:tcW w:w="1842" w:type="dxa"/>
            <w:tcBorders>
              <w:top w:val="nil"/>
              <w:left w:val="nil"/>
              <w:bottom w:val="nil"/>
              <w:right w:val="nil"/>
            </w:tcBorders>
            <w:shd w:val="clear" w:color="auto" w:fill="DAEEF3" w:themeFill="accent5" w:themeFillTint="33"/>
            <w:vAlign w:val="bottom"/>
          </w:tcPr>
          <w:p w:rsidR="004139C4" w:rsidRDefault="004139C4" w:rsidP="00A11D68">
            <w:pPr>
              <w:spacing w:before="120" w:afterLines="40" w:after="96"/>
              <w:jc w:val="both"/>
              <w:rPr>
                <w:rFonts w:ascii="Arial" w:hAnsi="Arial"/>
                <w:color w:val="000000"/>
                <w:sz w:val="16"/>
                <w:szCs w:val="24"/>
              </w:rPr>
            </w:pPr>
          </w:p>
        </w:tc>
        <w:tc>
          <w:tcPr>
            <w:tcW w:w="1711" w:type="dxa"/>
            <w:tcBorders>
              <w:top w:val="nil"/>
              <w:left w:val="nil"/>
              <w:bottom w:val="nil"/>
              <w:right w:val="nil"/>
            </w:tcBorders>
            <w:shd w:val="clear" w:color="auto" w:fill="DAEEF3" w:themeFill="accent5" w:themeFillTint="33"/>
            <w:vAlign w:val="bottom"/>
          </w:tcPr>
          <w:p w:rsidR="004139C4" w:rsidRDefault="004139C4" w:rsidP="00A11D68">
            <w:pPr>
              <w:spacing w:before="120" w:afterLines="40" w:after="96"/>
              <w:jc w:val="both"/>
              <w:rPr>
                <w:rFonts w:ascii="Arial" w:hAnsi="Arial"/>
                <w:color w:val="000000"/>
                <w:sz w:val="16"/>
                <w:szCs w:val="24"/>
                <w:lang w:val="en-GB"/>
              </w:rPr>
            </w:pPr>
          </w:p>
        </w:tc>
      </w:tr>
      <w:tr w:rsidR="004139C4" w:rsidTr="00D52C00">
        <w:trPr>
          <w:trHeight w:val="288"/>
          <w:jc w:val="center"/>
        </w:trPr>
        <w:tc>
          <w:tcPr>
            <w:tcW w:w="3740" w:type="dxa"/>
            <w:tcBorders>
              <w:top w:val="nil"/>
              <w:left w:val="nil"/>
              <w:bottom w:val="nil"/>
              <w:right w:val="nil"/>
            </w:tcBorders>
            <w:vAlign w:val="bottom"/>
            <w:hideMark/>
          </w:tcPr>
          <w:p w:rsidR="004139C4" w:rsidRDefault="004139C4" w:rsidP="00A11D68">
            <w:pPr>
              <w:spacing w:before="80" w:after="40"/>
              <w:jc w:val="both"/>
              <w:rPr>
                <w:rFonts w:ascii="Arial" w:hAnsi="Arial"/>
                <w:color w:val="000000"/>
                <w:sz w:val="16"/>
                <w:szCs w:val="24"/>
              </w:rPr>
            </w:pPr>
            <w:r>
              <w:rPr>
                <w:rFonts w:ascii="Arial" w:hAnsi="Arial"/>
                <w:color w:val="000000"/>
                <w:sz w:val="16"/>
                <w:szCs w:val="24"/>
                <w:lang w:val="en-GB"/>
              </w:rPr>
              <w:t>IFAD</w:t>
            </w:r>
          </w:p>
        </w:tc>
        <w:tc>
          <w:tcPr>
            <w:tcW w:w="1843"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5</w:t>
            </w:r>
          </w:p>
        </w:tc>
        <w:tc>
          <w:tcPr>
            <w:tcW w:w="1842"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rPr>
            </w:pPr>
            <w:r>
              <w:rPr>
                <w:rFonts w:ascii="Arial" w:hAnsi="Arial"/>
                <w:color w:val="000000"/>
                <w:sz w:val="16"/>
                <w:szCs w:val="24"/>
              </w:rPr>
              <w:t>5</w:t>
            </w:r>
          </w:p>
        </w:tc>
        <w:tc>
          <w:tcPr>
            <w:tcW w:w="1711"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0</w:t>
            </w:r>
          </w:p>
        </w:tc>
      </w:tr>
      <w:tr w:rsidR="004139C4" w:rsidTr="00D52C00">
        <w:trPr>
          <w:trHeight w:val="288"/>
          <w:jc w:val="center"/>
        </w:trPr>
        <w:tc>
          <w:tcPr>
            <w:tcW w:w="3740" w:type="dxa"/>
            <w:tcBorders>
              <w:top w:val="nil"/>
              <w:left w:val="nil"/>
              <w:bottom w:val="nil"/>
              <w:right w:val="nil"/>
            </w:tcBorders>
            <w:vAlign w:val="bottom"/>
            <w:hideMark/>
          </w:tcPr>
          <w:p w:rsidR="004139C4" w:rsidRDefault="004139C4" w:rsidP="00A11D68">
            <w:pPr>
              <w:spacing w:before="80" w:after="40"/>
              <w:jc w:val="both"/>
              <w:rPr>
                <w:rFonts w:ascii="Arial" w:hAnsi="Arial"/>
                <w:color w:val="000000"/>
                <w:sz w:val="16"/>
                <w:szCs w:val="24"/>
              </w:rPr>
            </w:pPr>
            <w:r>
              <w:rPr>
                <w:rFonts w:ascii="Arial" w:hAnsi="Arial"/>
                <w:color w:val="000000"/>
                <w:sz w:val="16"/>
                <w:szCs w:val="24"/>
                <w:lang w:val="en-GB"/>
              </w:rPr>
              <w:t>Government</w:t>
            </w:r>
          </w:p>
        </w:tc>
        <w:tc>
          <w:tcPr>
            <w:tcW w:w="1843" w:type="dxa"/>
            <w:tcBorders>
              <w:top w:val="nil"/>
              <w:left w:val="nil"/>
              <w:bottom w:val="nil"/>
              <w:right w:val="nil"/>
            </w:tcBorders>
            <w:vAlign w:val="bottom"/>
          </w:tcPr>
          <w:p w:rsidR="004139C4" w:rsidRDefault="00C40CA0" w:rsidP="00A11D68">
            <w:pPr>
              <w:spacing w:before="80" w:after="40"/>
              <w:jc w:val="both"/>
              <w:rPr>
                <w:rFonts w:ascii="Arial" w:hAnsi="Arial"/>
                <w:color w:val="000000"/>
                <w:sz w:val="16"/>
                <w:szCs w:val="24"/>
                <w:lang w:val="en-GB"/>
              </w:rPr>
            </w:pPr>
            <w:r>
              <w:rPr>
                <w:rFonts w:ascii="Arial" w:hAnsi="Arial"/>
                <w:color w:val="000000"/>
                <w:sz w:val="16"/>
                <w:szCs w:val="24"/>
                <w:lang w:val="en-GB"/>
              </w:rPr>
              <w:t>5</w:t>
            </w:r>
          </w:p>
        </w:tc>
        <w:tc>
          <w:tcPr>
            <w:tcW w:w="1842" w:type="dxa"/>
            <w:tcBorders>
              <w:top w:val="nil"/>
              <w:left w:val="nil"/>
              <w:bottom w:val="nil"/>
              <w:right w:val="nil"/>
            </w:tcBorders>
            <w:vAlign w:val="bottom"/>
          </w:tcPr>
          <w:p w:rsidR="004139C4" w:rsidRDefault="00CC265D" w:rsidP="00A11D68">
            <w:pPr>
              <w:spacing w:before="80" w:after="40"/>
              <w:jc w:val="both"/>
              <w:rPr>
                <w:rFonts w:ascii="Arial" w:hAnsi="Arial"/>
                <w:color w:val="000000"/>
                <w:sz w:val="16"/>
                <w:szCs w:val="24"/>
              </w:rPr>
            </w:pPr>
            <w:r>
              <w:rPr>
                <w:rFonts w:ascii="Arial" w:hAnsi="Arial"/>
                <w:color w:val="000000"/>
                <w:sz w:val="16"/>
                <w:szCs w:val="24"/>
              </w:rPr>
              <w:t>4</w:t>
            </w:r>
          </w:p>
        </w:tc>
        <w:tc>
          <w:tcPr>
            <w:tcW w:w="1711" w:type="dxa"/>
            <w:tcBorders>
              <w:top w:val="nil"/>
              <w:left w:val="nil"/>
              <w:bottom w:val="nil"/>
              <w:right w:val="nil"/>
            </w:tcBorders>
            <w:vAlign w:val="bottom"/>
          </w:tcPr>
          <w:p w:rsidR="004139C4" w:rsidRDefault="00BE4E6D" w:rsidP="00A11D68">
            <w:pPr>
              <w:spacing w:before="80" w:after="40"/>
              <w:jc w:val="both"/>
              <w:rPr>
                <w:rFonts w:ascii="Arial" w:hAnsi="Arial"/>
                <w:color w:val="000000"/>
                <w:sz w:val="16"/>
                <w:szCs w:val="24"/>
                <w:lang w:val="en-GB"/>
              </w:rPr>
            </w:pPr>
            <w:r>
              <w:rPr>
                <w:rFonts w:ascii="Arial" w:hAnsi="Arial"/>
                <w:color w:val="000000"/>
                <w:sz w:val="16"/>
                <w:szCs w:val="24"/>
                <w:lang w:val="en-GB"/>
              </w:rPr>
              <w:t>-</w:t>
            </w:r>
            <w:r w:rsidR="00CC265D">
              <w:rPr>
                <w:rFonts w:ascii="Arial" w:hAnsi="Arial"/>
                <w:color w:val="000000"/>
                <w:sz w:val="16"/>
                <w:szCs w:val="24"/>
                <w:lang w:val="en-GB"/>
              </w:rPr>
              <w:t>1</w:t>
            </w:r>
          </w:p>
        </w:tc>
      </w:tr>
      <w:tr w:rsidR="004139C4" w:rsidTr="00D52C00">
        <w:trPr>
          <w:trHeight w:val="300"/>
          <w:jc w:val="center"/>
        </w:trPr>
        <w:tc>
          <w:tcPr>
            <w:tcW w:w="3740" w:type="dxa"/>
            <w:tcBorders>
              <w:top w:val="single" w:sz="8" w:space="0" w:color="auto"/>
              <w:left w:val="nil"/>
              <w:bottom w:val="single" w:sz="12" w:space="0" w:color="auto"/>
              <w:right w:val="nil"/>
            </w:tcBorders>
            <w:shd w:val="clear" w:color="auto" w:fill="EAF1DD" w:themeFill="accent3" w:themeFillTint="33"/>
            <w:vAlign w:val="bottom"/>
            <w:hideMark/>
          </w:tcPr>
          <w:p w:rsidR="004139C4" w:rsidRDefault="004139C4" w:rsidP="00A11D68">
            <w:pPr>
              <w:spacing w:before="120" w:afterLines="40" w:after="96"/>
              <w:jc w:val="both"/>
              <w:rPr>
                <w:rFonts w:ascii="Arial" w:hAnsi="Arial"/>
                <w:b/>
                <w:bCs/>
                <w:color w:val="000000"/>
                <w:sz w:val="16"/>
                <w:szCs w:val="24"/>
                <w:lang w:val="en-GB"/>
              </w:rPr>
            </w:pPr>
            <w:r>
              <w:rPr>
                <w:rFonts w:ascii="Arial" w:hAnsi="Arial"/>
                <w:b/>
                <w:bCs/>
                <w:color w:val="000000"/>
                <w:sz w:val="16"/>
                <w:szCs w:val="24"/>
                <w:lang w:val="en-GB"/>
              </w:rPr>
              <w:t>Average net disconnect</w:t>
            </w:r>
          </w:p>
        </w:tc>
        <w:tc>
          <w:tcPr>
            <w:tcW w:w="1843" w:type="dxa"/>
            <w:tcBorders>
              <w:top w:val="single" w:sz="8" w:space="0" w:color="auto"/>
              <w:left w:val="nil"/>
              <w:bottom w:val="single" w:sz="12" w:space="0" w:color="auto"/>
              <w:right w:val="nil"/>
            </w:tcBorders>
            <w:shd w:val="clear" w:color="auto" w:fill="EAF1DD" w:themeFill="accent3" w:themeFillTint="33"/>
            <w:vAlign w:val="bottom"/>
          </w:tcPr>
          <w:p w:rsidR="004139C4" w:rsidRDefault="004139C4" w:rsidP="00A11D68">
            <w:pPr>
              <w:spacing w:before="120" w:afterLines="40" w:after="96"/>
              <w:jc w:val="both"/>
              <w:rPr>
                <w:rFonts w:ascii="Arial" w:hAnsi="Arial"/>
                <w:color w:val="000000"/>
                <w:sz w:val="16"/>
                <w:szCs w:val="24"/>
              </w:rPr>
            </w:pPr>
          </w:p>
        </w:tc>
        <w:tc>
          <w:tcPr>
            <w:tcW w:w="1842" w:type="dxa"/>
            <w:tcBorders>
              <w:top w:val="single" w:sz="8" w:space="0" w:color="auto"/>
              <w:left w:val="nil"/>
              <w:bottom w:val="single" w:sz="12" w:space="0" w:color="auto"/>
              <w:right w:val="nil"/>
            </w:tcBorders>
            <w:shd w:val="clear" w:color="auto" w:fill="EAF1DD" w:themeFill="accent3" w:themeFillTint="33"/>
            <w:vAlign w:val="bottom"/>
          </w:tcPr>
          <w:p w:rsidR="004139C4" w:rsidRDefault="004139C4" w:rsidP="00A11D68">
            <w:pPr>
              <w:spacing w:before="120" w:afterLines="40" w:after="96"/>
              <w:jc w:val="both"/>
              <w:rPr>
                <w:rFonts w:ascii="Arial" w:hAnsi="Arial"/>
                <w:color w:val="000000"/>
                <w:sz w:val="16"/>
                <w:szCs w:val="24"/>
              </w:rPr>
            </w:pPr>
          </w:p>
        </w:tc>
        <w:tc>
          <w:tcPr>
            <w:tcW w:w="1711" w:type="dxa"/>
            <w:tcBorders>
              <w:top w:val="single" w:sz="8" w:space="0" w:color="auto"/>
              <w:left w:val="nil"/>
              <w:bottom w:val="single" w:sz="12" w:space="0" w:color="auto"/>
              <w:right w:val="nil"/>
            </w:tcBorders>
            <w:shd w:val="clear" w:color="auto" w:fill="EAF1DD" w:themeFill="accent3" w:themeFillTint="33"/>
            <w:vAlign w:val="bottom"/>
          </w:tcPr>
          <w:p w:rsidR="004139C4" w:rsidRDefault="00BE1DC2" w:rsidP="00EC1C8A">
            <w:pPr>
              <w:spacing w:before="120" w:afterLines="40" w:after="96"/>
              <w:jc w:val="both"/>
              <w:rPr>
                <w:rFonts w:ascii="Arial" w:hAnsi="Arial"/>
                <w:b/>
                <w:bCs/>
                <w:color w:val="000000"/>
                <w:sz w:val="16"/>
                <w:szCs w:val="24"/>
              </w:rPr>
            </w:pPr>
            <w:r>
              <w:rPr>
                <w:rFonts w:ascii="Arial" w:hAnsi="Arial"/>
                <w:b/>
                <w:bCs/>
                <w:color w:val="000000"/>
                <w:sz w:val="16"/>
                <w:szCs w:val="24"/>
              </w:rPr>
              <w:t>-0</w:t>
            </w:r>
            <w:r w:rsidR="00EC1C8A">
              <w:rPr>
                <w:rFonts w:ascii="Arial" w:hAnsi="Arial"/>
                <w:b/>
                <w:bCs/>
                <w:color w:val="000000"/>
                <w:sz w:val="16"/>
                <w:szCs w:val="24"/>
              </w:rPr>
              <w:t>.33</w:t>
            </w:r>
          </w:p>
        </w:tc>
      </w:tr>
    </w:tbl>
    <w:p w:rsidR="00D52C00" w:rsidRPr="008246B9" w:rsidRDefault="00D52C00" w:rsidP="00A11D68">
      <w:pPr>
        <w:tabs>
          <w:tab w:val="left" w:pos="397"/>
          <w:tab w:val="left" w:pos="737"/>
        </w:tabs>
        <w:spacing w:before="60"/>
        <w:ind w:right="-45"/>
        <w:jc w:val="both"/>
        <w:rPr>
          <w:rFonts w:asciiTheme="minorBidi" w:hAnsiTheme="minorBidi" w:cstheme="minorBidi"/>
          <w:color w:val="000000"/>
          <w:sz w:val="16"/>
          <w:szCs w:val="24"/>
          <w:lang w:val="en-GB" w:eastAsia="en-GB"/>
        </w:rPr>
      </w:pPr>
      <w:r>
        <w:rPr>
          <w:rFonts w:asciiTheme="minorBidi" w:hAnsiTheme="minorBidi" w:cstheme="minorBidi"/>
          <w:color w:val="000000"/>
          <w:vertAlign w:val="superscript"/>
          <w:lang w:val="en-GB" w:eastAsia="en-GB"/>
        </w:rPr>
        <w:t>a</w:t>
      </w:r>
      <w:r w:rsidRPr="008246B9">
        <w:rPr>
          <w:rFonts w:asciiTheme="minorBidi" w:hAnsiTheme="minorBidi" w:cstheme="minorBidi"/>
          <w:color w:val="000000"/>
          <w:lang w:val="en-GB" w:eastAsia="en-GB"/>
        </w:rPr>
        <w:t xml:space="preserve"> </w:t>
      </w:r>
      <w:r w:rsidRPr="008246B9">
        <w:rPr>
          <w:rFonts w:asciiTheme="minorBidi" w:hAnsiTheme="minorBidi" w:cstheme="minorBidi"/>
          <w:color w:val="000000"/>
          <w:sz w:val="16"/>
          <w:szCs w:val="24"/>
          <w:lang w:val="en-GB" w:eastAsia="en-GB"/>
        </w:rPr>
        <w:t xml:space="preserve">Rating scale: 1 = highly unsatisfactory; 2 = unsatisfactory; 3 = moderately unsatisfactory;  4 = moderately satisfactory;  5 = satisfactory; 6 = highly satisfactory; </w:t>
      </w:r>
      <w:proofErr w:type="spellStart"/>
      <w:r w:rsidRPr="008246B9">
        <w:rPr>
          <w:rFonts w:asciiTheme="minorBidi" w:hAnsiTheme="minorBidi" w:cstheme="minorBidi"/>
          <w:color w:val="000000"/>
          <w:sz w:val="16"/>
          <w:szCs w:val="24"/>
          <w:lang w:val="en-GB" w:eastAsia="en-GB"/>
        </w:rPr>
        <w:t>n.p</w:t>
      </w:r>
      <w:proofErr w:type="spellEnd"/>
      <w:r w:rsidRPr="008246B9">
        <w:rPr>
          <w:rFonts w:asciiTheme="minorBidi" w:hAnsiTheme="minorBidi" w:cstheme="minorBidi"/>
          <w:color w:val="000000"/>
          <w:sz w:val="16"/>
          <w:szCs w:val="24"/>
          <w:lang w:val="en-GB" w:eastAsia="en-GB"/>
        </w:rPr>
        <w:t xml:space="preserve">. = not provided; </w:t>
      </w:r>
      <w:proofErr w:type="spellStart"/>
      <w:r w:rsidRPr="008246B9">
        <w:rPr>
          <w:rFonts w:asciiTheme="minorBidi" w:hAnsiTheme="minorBidi" w:cstheme="minorBidi"/>
          <w:color w:val="000000"/>
          <w:sz w:val="16"/>
          <w:szCs w:val="24"/>
          <w:lang w:val="en-GB" w:eastAsia="en-GB"/>
        </w:rPr>
        <w:t>n.a</w:t>
      </w:r>
      <w:proofErr w:type="spellEnd"/>
      <w:r w:rsidRPr="008246B9">
        <w:rPr>
          <w:rFonts w:asciiTheme="minorBidi" w:hAnsiTheme="minorBidi" w:cstheme="minorBidi"/>
          <w:color w:val="000000"/>
          <w:sz w:val="16"/>
          <w:szCs w:val="24"/>
          <w:lang w:val="en-GB" w:eastAsia="en-GB"/>
        </w:rPr>
        <w:t>. = not applicable.</w:t>
      </w:r>
    </w:p>
    <w:p w:rsidR="00D52C00" w:rsidRPr="008246B9" w:rsidRDefault="00D52C00" w:rsidP="00A11D68">
      <w:pPr>
        <w:ind w:right="-45"/>
        <w:jc w:val="both"/>
        <w:rPr>
          <w:rFonts w:asciiTheme="minorBidi" w:hAnsiTheme="minorBidi" w:cstheme="minorBidi"/>
          <w:color w:val="000000"/>
          <w:sz w:val="16"/>
          <w:szCs w:val="24"/>
          <w:lang w:val="en-GB" w:eastAsia="en-GB"/>
        </w:rPr>
      </w:pPr>
      <w:proofErr w:type="gramStart"/>
      <w:r>
        <w:rPr>
          <w:rFonts w:asciiTheme="minorBidi" w:hAnsiTheme="minorBidi" w:cstheme="minorBidi"/>
          <w:vertAlign w:val="superscript"/>
          <w:lang w:val="en-GB" w:eastAsia="en-GB"/>
        </w:rPr>
        <w:t>b</w:t>
      </w:r>
      <w:proofErr w:type="gramEnd"/>
      <w:r w:rsidRPr="008246B9">
        <w:rPr>
          <w:rFonts w:asciiTheme="minorBidi" w:hAnsiTheme="minorBidi" w:cstheme="minorBidi"/>
          <w:sz w:val="24"/>
          <w:szCs w:val="24"/>
          <w:lang w:val="en-GB" w:eastAsia="en-GB"/>
        </w:rPr>
        <w:t xml:space="preserve"> </w:t>
      </w:r>
      <w:r w:rsidRPr="008246B9">
        <w:rPr>
          <w:rFonts w:asciiTheme="minorBidi" w:hAnsiTheme="minorBidi" w:cstheme="minorBidi"/>
          <w:color w:val="000000"/>
          <w:sz w:val="16"/>
          <w:szCs w:val="24"/>
          <w:lang w:val="en-GB" w:eastAsia="en-GB"/>
        </w:rPr>
        <w:t>Arithmetic average of ratings for relevance, effectiveness</w:t>
      </w:r>
      <w:r>
        <w:rPr>
          <w:rFonts w:asciiTheme="minorBidi" w:hAnsiTheme="minorBidi" w:cstheme="minorBidi"/>
          <w:color w:val="000000"/>
          <w:sz w:val="16"/>
          <w:szCs w:val="24"/>
          <w:lang w:val="en-GB" w:eastAsia="en-GB"/>
        </w:rPr>
        <w:t>,</w:t>
      </w:r>
      <w:r w:rsidRPr="008246B9">
        <w:rPr>
          <w:rFonts w:asciiTheme="minorBidi" w:hAnsiTheme="minorBidi" w:cstheme="minorBidi"/>
          <w:color w:val="000000"/>
          <w:sz w:val="16"/>
          <w:szCs w:val="24"/>
          <w:lang w:val="en-GB" w:eastAsia="en-GB"/>
        </w:rPr>
        <w:t xml:space="preserve"> efficiency</w:t>
      </w:r>
      <w:r>
        <w:rPr>
          <w:rFonts w:asciiTheme="minorBidi" w:hAnsiTheme="minorBidi" w:cstheme="minorBidi"/>
          <w:color w:val="000000"/>
          <w:sz w:val="16"/>
          <w:szCs w:val="24"/>
          <w:lang w:val="en-GB" w:eastAsia="en-GB"/>
        </w:rPr>
        <w:t xml:space="preserve"> and sustainability of benefits</w:t>
      </w:r>
      <w:r w:rsidRPr="008246B9">
        <w:rPr>
          <w:rFonts w:asciiTheme="minorBidi" w:hAnsiTheme="minorBidi" w:cstheme="minorBidi"/>
          <w:color w:val="000000"/>
          <w:sz w:val="16"/>
          <w:szCs w:val="24"/>
          <w:lang w:val="en-GB" w:eastAsia="en-GB"/>
        </w:rPr>
        <w:t>.</w:t>
      </w:r>
    </w:p>
    <w:p w:rsidR="00D52C00" w:rsidRDefault="00D52C00" w:rsidP="00A11D68">
      <w:pPr>
        <w:ind w:right="-45"/>
        <w:jc w:val="both"/>
        <w:rPr>
          <w:rFonts w:asciiTheme="minorBidi" w:hAnsiTheme="minorBidi" w:cstheme="minorBidi"/>
          <w:color w:val="000000"/>
          <w:sz w:val="16"/>
          <w:szCs w:val="24"/>
          <w:lang w:val="en-GB" w:eastAsia="en-GB"/>
        </w:rPr>
      </w:pPr>
      <w:r>
        <w:rPr>
          <w:rFonts w:asciiTheme="minorBidi" w:hAnsiTheme="minorBidi" w:cstheme="minorBidi"/>
          <w:color w:val="000000"/>
          <w:vertAlign w:val="superscript"/>
          <w:lang w:val="en-GB" w:eastAsia="en-GB"/>
        </w:rPr>
        <w:t>c</w:t>
      </w:r>
      <w:r w:rsidRPr="008246B9">
        <w:rPr>
          <w:rFonts w:asciiTheme="minorBidi" w:hAnsiTheme="minorBidi" w:cstheme="minorBidi"/>
          <w:color w:val="000000"/>
          <w:sz w:val="16"/>
          <w:szCs w:val="24"/>
          <w:lang w:val="en-GB" w:eastAsia="en-GB"/>
        </w:rPr>
        <w:t xml:space="preserve"> This is not an average of ratings of individual evaluation criteria</w:t>
      </w:r>
      <w:r>
        <w:rPr>
          <w:rFonts w:asciiTheme="minorBidi" w:hAnsiTheme="minorBidi" w:cstheme="minorBidi"/>
          <w:color w:val="000000"/>
          <w:sz w:val="16"/>
          <w:szCs w:val="24"/>
          <w:lang w:val="en-GB" w:eastAsia="en-GB"/>
        </w:rPr>
        <w:t xml:space="preserve"> </w:t>
      </w:r>
      <w:r>
        <w:rPr>
          <w:rFonts w:asciiTheme="minorBidi" w:hAnsiTheme="minorBidi" w:cstheme="minorBidi"/>
          <w:sz w:val="16"/>
          <w:szCs w:val="16"/>
          <w:lang w:val="en-GB" w:eastAsia="en-GB"/>
        </w:rPr>
        <w:t>but an overarching assessment of the project, drawing upon the rating for relevance, effectiveness, efficiency, sustainability of benefits, rural poverty impact, gender, innovation and scaling up, environment and natural resources management, and adaptation to climate change.</w:t>
      </w:r>
    </w:p>
    <w:p w:rsidR="00931850" w:rsidRPr="00931850" w:rsidRDefault="00D52C00" w:rsidP="00A11D68">
      <w:pPr>
        <w:spacing w:after="60"/>
        <w:jc w:val="both"/>
        <w:rPr>
          <w:rFonts w:asciiTheme="minorBidi" w:hAnsiTheme="minorBidi" w:cstheme="minorBidi"/>
          <w:color w:val="000000"/>
          <w:sz w:val="16"/>
          <w:szCs w:val="24"/>
          <w:lang w:val="en-GB" w:eastAsia="en-GB"/>
        </w:rPr>
      </w:pPr>
      <w:proofErr w:type="gramStart"/>
      <w:r w:rsidRPr="00D52C00">
        <w:rPr>
          <w:rFonts w:asciiTheme="minorBidi" w:hAnsiTheme="minorBidi" w:cstheme="minorBidi"/>
          <w:color w:val="000000"/>
          <w:vertAlign w:val="superscript"/>
          <w:lang w:val="en-GB" w:eastAsia="en-GB"/>
        </w:rPr>
        <w:t>d</w:t>
      </w:r>
      <w:proofErr w:type="gramEnd"/>
      <w:r>
        <w:rPr>
          <w:rFonts w:asciiTheme="minorBidi" w:hAnsiTheme="minorBidi" w:cstheme="minorBidi"/>
          <w:color w:val="000000"/>
          <w:sz w:val="16"/>
          <w:szCs w:val="24"/>
          <w:lang w:val="en-GB" w:eastAsia="en-GB"/>
        </w:rPr>
        <w:t> T</w:t>
      </w:r>
      <w:r w:rsidRPr="008246B9">
        <w:rPr>
          <w:rFonts w:asciiTheme="minorBidi" w:hAnsiTheme="minorBidi" w:cstheme="minorBidi"/>
          <w:color w:val="000000"/>
          <w:sz w:val="16"/>
          <w:szCs w:val="24"/>
          <w:lang w:val="en-GB" w:eastAsia="en-GB"/>
        </w:rPr>
        <w:t xml:space="preserve">he rating for partners’ performance is not a component of the </w:t>
      </w:r>
      <w:r>
        <w:rPr>
          <w:rFonts w:asciiTheme="minorBidi" w:hAnsiTheme="minorBidi" w:cstheme="minorBidi"/>
          <w:color w:val="000000"/>
          <w:sz w:val="16"/>
          <w:szCs w:val="24"/>
        </w:rPr>
        <w:t>overall project achievement rating</w:t>
      </w:r>
      <w:r w:rsidRPr="008246B9">
        <w:rPr>
          <w:rFonts w:asciiTheme="minorBidi" w:hAnsiTheme="minorBidi" w:cstheme="minorBidi"/>
          <w:color w:val="000000"/>
          <w:sz w:val="16"/>
          <w:szCs w:val="24"/>
          <w:lang w:val="en-GB" w:eastAsia="en-GB"/>
        </w:rPr>
        <w:t>.</w:t>
      </w:r>
    </w:p>
    <w:p w:rsidR="00D52C00" w:rsidRDefault="00D52C00" w:rsidP="00A11D68">
      <w:pPr>
        <w:spacing w:after="60"/>
        <w:jc w:val="both"/>
        <w:rPr>
          <w:rFonts w:asciiTheme="minorBidi" w:hAnsiTheme="minorBidi" w:cstheme="minorBidi"/>
          <w:b/>
          <w:bCs/>
          <w:color w:val="000000"/>
          <w:sz w:val="16"/>
          <w:szCs w:val="16"/>
          <w:lang w:val="en-GB"/>
        </w:rPr>
      </w:pPr>
    </w:p>
    <w:p w:rsidR="004139C4" w:rsidRPr="001A073A" w:rsidRDefault="004139C4" w:rsidP="00A11D68">
      <w:pPr>
        <w:spacing w:after="60"/>
        <w:jc w:val="both"/>
        <w:rPr>
          <w:rFonts w:asciiTheme="minorBidi" w:hAnsiTheme="minorBidi" w:cstheme="minorBidi"/>
          <w:b/>
          <w:bCs/>
          <w:color w:val="000000"/>
          <w:sz w:val="16"/>
          <w:szCs w:val="16"/>
          <w:lang w:val="en-GB"/>
        </w:rPr>
      </w:pPr>
      <w:r w:rsidRPr="001A073A">
        <w:rPr>
          <w:rFonts w:asciiTheme="minorBidi" w:hAnsiTheme="minorBidi" w:cstheme="minorBidi"/>
          <w:b/>
          <w:bCs/>
          <w:color w:val="000000"/>
          <w:sz w:val="16"/>
          <w:szCs w:val="16"/>
          <w:lang w:val="en-GB"/>
        </w:rPr>
        <w:t xml:space="preserve">Ratings of the </w:t>
      </w:r>
      <w:r>
        <w:rPr>
          <w:rFonts w:asciiTheme="minorBidi" w:hAnsiTheme="minorBidi" w:cstheme="minorBidi"/>
          <w:b/>
          <w:bCs/>
          <w:color w:val="000000"/>
          <w:sz w:val="16"/>
          <w:szCs w:val="16"/>
          <w:lang w:val="en-GB"/>
        </w:rPr>
        <w:t>project completion report quality</w:t>
      </w:r>
    </w:p>
    <w:tbl>
      <w:tblPr>
        <w:tblW w:w="9072" w:type="dxa"/>
        <w:tblCellMar>
          <w:left w:w="0" w:type="dxa"/>
          <w:right w:w="0" w:type="dxa"/>
        </w:tblCellMar>
        <w:tblLook w:val="0000" w:firstRow="0" w:lastRow="0" w:firstColumn="0" w:lastColumn="0" w:noHBand="0" w:noVBand="0"/>
      </w:tblPr>
      <w:tblGrid>
        <w:gridCol w:w="3261"/>
        <w:gridCol w:w="1984"/>
        <w:gridCol w:w="1985"/>
        <w:gridCol w:w="1842"/>
      </w:tblGrid>
      <w:tr w:rsidR="004139C4" w:rsidRPr="00AA522B" w:rsidTr="009051FE">
        <w:tc>
          <w:tcPr>
            <w:tcW w:w="3261" w:type="dxa"/>
            <w:tcBorders>
              <w:top w:val="single" w:sz="8" w:space="0" w:color="auto"/>
              <w:bottom w:val="single" w:sz="12" w:space="0" w:color="auto"/>
            </w:tcBorders>
            <w:shd w:val="clear" w:color="auto" w:fill="D9D9D9" w:themeFill="background1" w:themeFillShade="D9"/>
          </w:tcPr>
          <w:p w:rsidR="004139C4" w:rsidRPr="00AA522B" w:rsidRDefault="004139C4" w:rsidP="00A11D68">
            <w:pPr>
              <w:spacing w:before="40" w:after="40" w:line="276" w:lineRule="auto"/>
              <w:jc w:val="both"/>
              <w:rPr>
                <w:rFonts w:asciiTheme="minorBidi" w:hAnsiTheme="minorBidi" w:cstheme="minorBidi"/>
                <w:i/>
                <w:iCs/>
                <w:sz w:val="16"/>
                <w:szCs w:val="16"/>
                <w:lang w:val="en-GB" w:eastAsia="en-GB"/>
              </w:rPr>
            </w:pPr>
          </w:p>
        </w:tc>
        <w:tc>
          <w:tcPr>
            <w:tcW w:w="1984" w:type="dxa"/>
            <w:tcBorders>
              <w:top w:val="single" w:sz="8" w:space="0" w:color="auto"/>
              <w:bottom w:val="single" w:sz="12" w:space="0" w:color="auto"/>
            </w:tcBorders>
            <w:shd w:val="clear" w:color="auto" w:fill="D9D9D9" w:themeFill="background1" w:themeFillShade="D9"/>
            <w:vAlign w:val="bottom"/>
          </w:tcPr>
          <w:p w:rsidR="004139C4" w:rsidRPr="00AA522B" w:rsidRDefault="004139C4" w:rsidP="00A11D68">
            <w:pPr>
              <w:spacing w:before="40" w:after="40" w:line="276" w:lineRule="auto"/>
              <w:ind w:right="141"/>
              <w:jc w:val="both"/>
              <w:rPr>
                <w:rFonts w:asciiTheme="minorBidi" w:hAnsiTheme="minorBidi" w:cstheme="minorBidi"/>
                <w:i/>
                <w:iCs/>
                <w:sz w:val="16"/>
                <w:szCs w:val="16"/>
                <w:lang w:val="en-GB" w:eastAsia="en-GB"/>
              </w:rPr>
            </w:pPr>
            <w:r w:rsidRPr="00AA522B">
              <w:rPr>
                <w:rFonts w:asciiTheme="minorBidi" w:hAnsiTheme="minorBidi" w:cstheme="minorBidi"/>
                <w:i/>
                <w:iCs/>
                <w:sz w:val="16"/>
                <w:szCs w:val="16"/>
                <w:lang w:val="en-GB" w:eastAsia="en-GB"/>
              </w:rPr>
              <w:t>PMD rating</w:t>
            </w:r>
          </w:p>
        </w:tc>
        <w:tc>
          <w:tcPr>
            <w:tcW w:w="1985" w:type="dxa"/>
            <w:tcBorders>
              <w:top w:val="single" w:sz="8" w:space="0" w:color="auto"/>
              <w:bottom w:val="single" w:sz="12" w:space="0" w:color="auto"/>
            </w:tcBorders>
            <w:shd w:val="clear" w:color="auto" w:fill="D9D9D9" w:themeFill="background1" w:themeFillShade="D9"/>
            <w:tcMar>
              <w:top w:w="0" w:type="dxa"/>
              <w:left w:w="108" w:type="dxa"/>
              <w:bottom w:w="0" w:type="dxa"/>
              <w:right w:w="108" w:type="dxa"/>
            </w:tcMar>
            <w:vAlign w:val="bottom"/>
          </w:tcPr>
          <w:p w:rsidR="004139C4" w:rsidRPr="00AA522B" w:rsidRDefault="004139C4" w:rsidP="00A11D68">
            <w:pPr>
              <w:spacing w:before="40" w:after="40" w:line="276" w:lineRule="auto"/>
              <w:jc w:val="both"/>
              <w:rPr>
                <w:rFonts w:asciiTheme="minorBidi" w:hAnsiTheme="minorBidi" w:cstheme="minorBidi"/>
                <w:i/>
                <w:iCs/>
                <w:sz w:val="16"/>
                <w:szCs w:val="16"/>
                <w:lang w:val="en-GB" w:eastAsia="en-GB"/>
              </w:rPr>
            </w:pPr>
            <w:r w:rsidRPr="00AA522B">
              <w:rPr>
                <w:rFonts w:asciiTheme="minorBidi" w:hAnsiTheme="minorBidi" w:cstheme="minorBidi"/>
                <w:i/>
                <w:iCs/>
                <w:sz w:val="16"/>
                <w:szCs w:val="16"/>
                <w:lang w:val="en-GB" w:eastAsia="en-GB"/>
              </w:rPr>
              <w:t>IOE PCRV rating</w:t>
            </w:r>
          </w:p>
        </w:tc>
        <w:tc>
          <w:tcPr>
            <w:tcW w:w="1842" w:type="dxa"/>
            <w:tcBorders>
              <w:top w:val="single" w:sz="8" w:space="0" w:color="auto"/>
              <w:bottom w:val="single" w:sz="12" w:space="0" w:color="auto"/>
            </w:tcBorders>
            <w:shd w:val="clear" w:color="auto" w:fill="D9D9D9" w:themeFill="background1" w:themeFillShade="D9"/>
            <w:tcMar>
              <w:top w:w="0" w:type="dxa"/>
              <w:left w:w="108" w:type="dxa"/>
              <w:bottom w:w="0" w:type="dxa"/>
              <w:right w:w="108" w:type="dxa"/>
            </w:tcMar>
            <w:vAlign w:val="bottom"/>
          </w:tcPr>
          <w:p w:rsidR="004139C4" w:rsidRPr="00AA522B" w:rsidRDefault="004139C4" w:rsidP="00A11D68">
            <w:pPr>
              <w:spacing w:before="40" w:after="40" w:line="276" w:lineRule="auto"/>
              <w:jc w:val="both"/>
              <w:rPr>
                <w:rFonts w:asciiTheme="minorBidi" w:hAnsiTheme="minorBidi" w:cstheme="minorBidi"/>
                <w:i/>
                <w:iCs/>
                <w:sz w:val="16"/>
                <w:szCs w:val="16"/>
                <w:lang w:val="en-GB" w:eastAsia="en-GB"/>
              </w:rPr>
            </w:pPr>
            <w:r w:rsidRPr="00AA522B">
              <w:rPr>
                <w:rFonts w:asciiTheme="minorBidi" w:hAnsiTheme="minorBidi" w:cstheme="minorBidi"/>
                <w:i/>
                <w:iCs/>
                <w:sz w:val="16"/>
                <w:szCs w:val="16"/>
                <w:lang w:val="en-GB" w:eastAsia="en-GB"/>
              </w:rPr>
              <w:t>Net disconnect</w:t>
            </w:r>
          </w:p>
        </w:tc>
      </w:tr>
      <w:tr w:rsidR="004139C4" w:rsidRPr="00AA522B" w:rsidTr="009051FE">
        <w:tc>
          <w:tcPr>
            <w:tcW w:w="3261" w:type="dxa"/>
            <w:tcBorders>
              <w:top w:val="single" w:sz="12" w:space="0" w:color="auto"/>
            </w:tcBorders>
          </w:tcPr>
          <w:p w:rsidR="004139C4" w:rsidRPr="00AA522B" w:rsidRDefault="00086E4E" w:rsidP="00A11D68">
            <w:pPr>
              <w:spacing w:before="40" w:after="40" w:line="276" w:lineRule="auto"/>
              <w:jc w:val="both"/>
              <w:rPr>
                <w:rFonts w:asciiTheme="minorBidi" w:hAnsiTheme="minorBidi" w:cstheme="minorBidi"/>
                <w:sz w:val="16"/>
                <w:szCs w:val="16"/>
                <w:lang w:val="en-GB" w:eastAsia="en-GB"/>
              </w:rPr>
            </w:pPr>
            <w:r>
              <w:rPr>
                <w:rFonts w:asciiTheme="minorBidi" w:hAnsiTheme="minorBidi" w:cstheme="minorBidi"/>
                <w:sz w:val="16"/>
                <w:szCs w:val="16"/>
                <w:lang w:val="en-GB" w:eastAsia="en-GB"/>
              </w:rPr>
              <w:t>Candour</w:t>
            </w:r>
          </w:p>
        </w:tc>
        <w:tc>
          <w:tcPr>
            <w:tcW w:w="1984" w:type="dxa"/>
            <w:tcBorders>
              <w:top w:val="single" w:sz="12" w:space="0" w:color="auto"/>
            </w:tcBorders>
          </w:tcPr>
          <w:p w:rsidR="004139C4" w:rsidRPr="00AA522B" w:rsidRDefault="004139C4" w:rsidP="00A11D68">
            <w:pPr>
              <w:spacing w:before="40" w:after="40" w:line="276" w:lineRule="auto"/>
              <w:jc w:val="both"/>
              <w:rPr>
                <w:rFonts w:asciiTheme="minorBidi" w:hAnsiTheme="minorBidi" w:cstheme="minorBidi"/>
                <w:sz w:val="16"/>
                <w:szCs w:val="16"/>
                <w:lang w:val="en-GB" w:eastAsia="en-GB"/>
              </w:rPr>
            </w:pPr>
          </w:p>
        </w:tc>
        <w:tc>
          <w:tcPr>
            <w:tcW w:w="1985" w:type="dxa"/>
            <w:tcBorders>
              <w:top w:val="single" w:sz="12" w:space="0" w:color="auto"/>
            </w:tcBorders>
            <w:tcMar>
              <w:top w:w="0" w:type="dxa"/>
              <w:left w:w="108" w:type="dxa"/>
              <w:bottom w:w="0" w:type="dxa"/>
              <w:right w:w="108" w:type="dxa"/>
            </w:tcMar>
          </w:tcPr>
          <w:p w:rsidR="004139C4" w:rsidRPr="00AA522B" w:rsidRDefault="00F531C4" w:rsidP="00A11D68">
            <w:pPr>
              <w:spacing w:before="40" w:after="40" w:line="276" w:lineRule="auto"/>
              <w:jc w:val="both"/>
              <w:rPr>
                <w:rFonts w:asciiTheme="minorBidi" w:hAnsiTheme="minorBidi" w:cstheme="minorBidi"/>
                <w:sz w:val="16"/>
                <w:szCs w:val="16"/>
                <w:lang w:val="en-GB" w:eastAsia="en-GB"/>
              </w:rPr>
            </w:pPr>
            <w:r>
              <w:rPr>
                <w:rFonts w:asciiTheme="minorBidi" w:hAnsiTheme="minorBidi" w:cstheme="minorBidi"/>
                <w:sz w:val="16"/>
                <w:szCs w:val="16"/>
                <w:lang w:val="en-GB" w:eastAsia="en-GB"/>
              </w:rPr>
              <w:t>4</w:t>
            </w:r>
          </w:p>
        </w:tc>
        <w:tc>
          <w:tcPr>
            <w:tcW w:w="1842" w:type="dxa"/>
            <w:tcBorders>
              <w:top w:val="single" w:sz="12" w:space="0" w:color="auto"/>
            </w:tcBorders>
            <w:tcMar>
              <w:top w:w="0" w:type="dxa"/>
              <w:left w:w="108" w:type="dxa"/>
              <w:bottom w:w="0" w:type="dxa"/>
              <w:right w:w="108" w:type="dxa"/>
            </w:tcMar>
          </w:tcPr>
          <w:p w:rsidR="004139C4" w:rsidRPr="00AA522B" w:rsidRDefault="004139C4" w:rsidP="00A11D68">
            <w:pPr>
              <w:spacing w:before="40" w:after="40" w:line="276" w:lineRule="auto"/>
              <w:jc w:val="both"/>
              <w:rPr>
                <w:rFonts w:asciiTheme="minorBidi" w:hAnsiTheme="minorBidi" w:cstheme="minorBidi"/>
                <w:sz w:val="16"/>
                <w:szCs w:val="16"/>
                <w:lang w:val="en-GB" w:eastAsia="en-GB"/>
              </w:rPr>
            </w:pPr>
          </w:p>
        </w:tc>
      </w:tr>
      <w:tr w:rsidR="004139C4" w:rsidRPr="00AA522B" w:rsidTr="009051FE">
        <w:tc>
          <w:tcPr>
            <w:tcW w:w="3261" w:type="dxa"/>
            <w:tcBorders>
              <w:top w:val="nil"/>
            </w:tcBorders>
            <w:shd w:val="clear" w:color="auto" w:fill="DAEEF3"/>
          </w:tcPr>
          <w:p w:rsidR="004139C4" w:rsidRPr="00AA522B" w:rsidRDefault="00086E4E" w:rsidP="00A11D68">
            <w:pPr>
              <w:spacing w:before="40" w:after="40" w:line="276" w:lineRule="auto"/>
              <w:jc w:val="both"/>
              <w:rPr>
                <w:rFonts w:asciiTheme="minorBidi" w:hAnsiTheme="minorBidi" w:cstheme="minorBidi"/>
                <w:sz w:val="16"/>
                <w:szCs w:val="16"/>
                <w:lang w:val="en-GB" w:eastAsia="en-GB"/>
              </w:rPr>
            </w:pPr>
            <w:r>
              <w:rPr>
                <w:rFonts w:asciiTheme="minorBidi" w:hAnsiTheme="minorBidi" w:cstheme="minorBidi"/>
                <w:sz w:val="16"/>
                <w:szCs w:val="16"/>
                <w:lang w:val="en-GB" w:eastAsia="en-GB"/>
              </w:rPr>
              <w:t>Lessons</w:t>
            </w:r>
          </w:p>
        </w:tc>
        <w:tc>
          <w:tcPr>
            <w:tcW w:w="1984" w:type="dxa"/>
            <w:tcBorders>
              <w:top w:val="nil"/>
            </w:tcBorders>
            <w:shd w:val="clear" w:color="auto" w:fill="DAEEF3"/>
          </w:tcPr>
          <w:p w:rsidR="004139C4" w:rsidRPr="00AA522B" w:rsidRDefault="004139C4" w:rsidP="00A11D68">
            <w:pPr>
              <w:spacing w:before="40" w:after="40" w:line="276" w:lineRule="auto"/>
              <w:jc w:val="both"/>
              <w:rPr>
                <w:rFonts w:asciiTheme="minorBidi" w:hAnsiTheme="minorBidi" w:cstheme="minorBidi"/>
                <w:sz w:val="16"/>
                <w:szCs w:val="16"/>
                <w:lang w:val="en-GB" w:eastAsia="en-GB"/>
              </w:rPr>
            </w:pPr>
          </w:p>
        </w:tc>
        <w:tc>
          <w:tcPr>
            <w:tcW w:w="1985" w:type="dxa"/>
            <w:tcBorders>
              <w:top w:val="nil"/>
            </w:tcBorders>
            <w:shd w:val="clear" w:color="auto" w:fill="DAEEF3"/>
            <w:tcMar>
              <w:top w:w="0" w:type="dxa"/>
              <w:left w:w="108" w:type="dxa"/>
              <w:bottom w:w="0" w:type="dxa"/>
              <w:right w:w="108" w:type="dxa"/>
            </w:tcMar>
          </w:tcPr>
          <w:p w:rsidR="004139C4" w:rsidRPr="00AA522B" w:rsidRDefault="00F531C4" w:rsidP="00A11D68">
            <w:pPr>
              <w:spacing w:before="40" w:after="40" w:line="276" w:lineRule="auto"/>
              <w:jc w:val="both"/>
              <w:rPr>
                <w:rFonts w:asciiTheme="minorBidi" w:hAnsiTheme="minorBidi" w:cstheme="minorBidi"/>
                <w:sz w:val="16"/>
                <w:szCs w:val="16"/>
                <w:lang w:val="en-GB" w:eastAsia="en-GB"/>
              </w:rPr>
            </w:pPr>
            <w:r>
              <w:rPr>
                <w:rFonts w:asciiTheme="minorBidi" w:hAnsiTheme="minorBidi" w:cstheme="minorBidi"/>
                <w:sz w:val="16"/>
                <w:szCs w:val="16"/>
                <w:lang w:val="en-GB" w:eastAsia="en-GB"/>
              </w:rPr>
              <w:t>4</w:t>
            </w:r>
          </w:p>
        </w:tc>
        <w:tc>
          <w:tcPr>
            <w:tcW w:w="1842" w:type="dxa"/>
            <w:tcBorders>
              <w:top w:val="nil"/>
            </w:tcBorders>
            <w:shd w:val="clear" w:color="auto" w:fill="DAEEF3"/>
            <w:tcMar>
              <w:top w:w="0" w:type="dxa"/>
              <w:left w:w="108" w:type="dxa"/>
              <w:bottom w:w="0" w:type="dxa"/>
              <w:right w:w="108" w:type="dxa"/>
            </w:tcMar>
          </w:tcPr>
          <w:p w:rsidR="004139C4" w:rsidRPr="00AA522B" w:rsidRDefault="004139C4" w:rsidP="00A11D68">
            <w:pPr>
              <w:spacing w:before="40" w:after="40" w:line="276" w:lineRule="auto"/>
              <w:jc w:val="both"/>
              <w:rPr>
                <w:rFonts w:asciiTheme="minorBidi" w:hAnsiTheme="minorBidi" w:cstheme="minorBidi"/>
                <w:sz w:val="16"/>
                <w:szCs w:val="16"/>
                <w:lang w:val="en-GB" w:eastAsia="en-GB"/>
              </w:rPr>
            </w:pPr>
          </w:p>
        </w:tc>
      </w:tr>
      <w:tr w:rsidR="004139C4" w:rsidRPr="00AA522B" w:rsidTr="009051FE">
        <w:tc>
          <w:tcPr>
            <w:tcW w:w="3261" w:type="dxa"/>
            <w:tcBorders>
              <w:top w:val="nil"/>
            </w:tcBorders>
          </w:tcPr>
          <w:p w:rsidR="004139C4" w:rsidRPr="00AA522B" w:rsidRDefault="00086E4E" w:rsidP="00A11D68">
            <w:pPr>
              <w:spacing w:before="40" w:after="40" w:line="276" w:lineRule="auto"/>
              <w:jc w:val="both"/>
              <w:rPr>
                <w:rFonts w:asciiTheme="minorBidi" w:hAnsiTheme="minorBidi" w:cstheme="minorBidi"/>
                <w:sz w:val="16"/>
                <w:szCs w:val="16"/>
                <w:lang w:val="en-GB" w:eastAsia="en-GB"/>
              </w:rPr>
            </w:pPr>
            <w:r w:rsidRPr="00AA522B">
              <w:rPr>
                <w:rFonts w:asciiTheme="minorBidi" w:hAnsiTheme="minorBidi" w:cstheme="minorBidi"/>
                <w:sz w:val="16"/>
                <w:szCs w:val="16"/>
                <w:lang w:val="en-GB" w:eastAsia="en-GB"/>
              </w:rPr>
              <w:t>Quality (methods, data, participatory process)</w:t>
            </w:r>
          </w:p>
        </w:tc>
        <w:tc>
          <w:tcPr>
            <w:tcW w:w="1984" w:type="dxa"/>
            <w:tcBorders>
              <w:top w:val="nil"/>
            </w:tcBorders>
          </w:tcPr>
          <w:p w:rsidR="004139C4" w:rsidRPr="00AA522B" w:rsidRDefault="004139C4" w:rsidP="00A11D68">
            <w:pPr>
              <w:spacing w:before="40" w:after="40" w:line="276" w:lineRule="auto"/>
              <w:jc w:val="both"/>
              <w:rPr>
                <w:rFonts w:asciiTheme="minorBidi" w:hAnsiTheme="minorBidi" w:cstheme="minorBidi"/>
                <w:sz w:val="16"/>
                <w:szCs w:val="16"/>
                <w:lang w:val="en-GB" w:eastAsia="en-GB"/>
              </w:rPr>
            </w:pPr>
          </w:p>
        </w:tc>
        <w:tc>
          <w:tcPr>
            <w:tcW w:w="1985" w:type="dxa"/>
            <w:tcBorders>
              <w:top w:val="nil"/>
            </w:tcBorders>
            <w:tcMar>
              <w:top w:w="0" w:type="dxa"/>
              <w:left w:w="108" w:type="dxa"/>
              <w:bottom w:w="0" w:type="dxa"/>
              <w:right w:w="108" w:type="dxa"/>
            </w:tcMar>
          </w:tcPr>
          <w:p w:rsidR="004139C4" w:rsidRPr="00AA522B" w:rsidRDefault="00F531C4" w:rsidP="00A11D68">
            <w:pPr>
              <w:spacing w:before="40" w:after="40" w:line="276" w:lineRule="auto"/>
              <w:jc w:val="both"/>
              <w:rPr>
                <w:rFonts w:asciiTheme="minorBidi" w:hAnsiTheme="minorBidi" w:cstheme="minorBidi"/>
                <w:sz w:val="16"/>
                <w:szCs w:val="16"/>
                <w:lang w:val="en-GB" w:eastAsia="en-GB"/>
              </w:rPr>
            </w:pPr>
            <w:r>
              <w:rPr>
                <w:rFonts w:asciiTheme="minorBidi" w:hAnsiTheme="minorBidi" w:cstheme="minorBidi"/>
                <w:sz w:val="16"/>
                <w:szCs w:val="16"/>
                <w:lang w:val="en-GB" w:eastAsia="en-GB"/>
              </w:rPr>
              <w:t>3</w:t>
            </w:r>
          </w:p>
        </w:tc>
        <w:tc>
          <w:tcPr>
            <w:tcW w:w="1842" w:type="dxa"/>
            <w:tcBorders>
              <w:top w:val="nil"/>
            </w:tcBorders>
            <w:tcMar>
              <w:top w:w="0" w:type="dxa"/>
              <w:left w:w="108" w:type="dxa"/>
              <w:bottom w:w="0" w:type="dxa"/>
              <w:right w:w="108" w:type="dxa"/>
            </w:tcMar>
          </w:tcPr>
          <w:p w:rsidR="004139C4" w:rsidRPr="00AA522B" w:rsidRDefault="004139C4" w:rsidP="00A11D68">
            <w:pPr>
              <w:spacing w:before="40" w:after="40" w:line="276" w:lineRule="auto"/>
              <w:jc w:val="both"/>
              <w:rPr>
                <w:rFonts w:asciiTheme="minorBidi" w:hAnsiTheme="minorBidi" w:cstheme="minorBidi"/>
                <w:sz w:val="16"/>
                <w:szCs w:val="16"/>
                <w:lang w:val="en-GB" w:eastAsia="en-GB"/>
              </w:rPr>
            </w:pPr>
          </w:p>
        </w:tc>
      </w:tr>
      <w:tr w:rsidR="004139C4" w:rsidRPr="00AA522B" w:rsidTr="00D52C00">
        <w:tc>
          <w:tcPr>
            <w:tcW w:w="3261" w:type="dxa"/>
            <w:tcBorders>
              <w:top w:val="nil"/>
              <w:bottom w:val="single" w:sz="12" w:space="0" w:color="auto"/>
            </w:tcBorders>
            <w:shd w:val="clear" w:color="auto" w:fill="DAEEF3"/>
          </w:tcPr>
          <w:p w:rsidR="004139C4" w:rsidRPr="00AA522B" w:rsidRDefault="00086E4E" w:rsidP="00A11D68">
            <w:pPr>
              <w:spacing w:before="40" w:after="40" w:line="276" w:lineRule="auto"/>
              <w:jc w:val="both"/>
              <w:rPr>
                <w:rFonts w:asciiTheme="minorBidi" w:hAnsiTheme="minorBidi" w:cstheme="minorBidi"/>
                <w:sz w:val="16"/>
                <w:szCs w:val="16"/>
                <w:lang w:val="en-GB" w:eastAsia="en-GB"/>
              </w:rPr>
            </w:pPr>
            <w:r w:rsidRPr="00AA522B">
              <w:rPr>
                <w:rFonts w:asciiTheme="minorBidi" w:hAnsiTheme="minorBidi" w:cstheme="minorBidi"/>
                <w:sz w:val="16"/>
                <w:szCs w:val="16"/>
                <w:lang w:val="en-GB" w:eastAsia="en-GB"/>
              </w:rPr>
              <w:t>Scope</w:t>
            </w:r>
          </w:p>
        </w:tc>
        <w:tc>
          <w:tcPr>
            <w:tcW w:w="1984" w:type="dxa"/>
            <w:tcBorders>
              <w:top w:val="nil"/>
              <w:bottom w:val="single" w:sz="12" w:space="0" w:color="auto"/>
            </w:tcBorders>
            <w:shd w:val="clear" w:color="auto" w:fill="DAEEF3"/>
          </w:tcPr>
          <w:p w:rsidR="004139C4" w:rsidRPr="00AA522B" w:rsidRDefault="004139C4" w:rsidP="00A11D68">
            <w:pPr>
              <w:spacing w:before="40" w:after="40" w:line="276" w:lineRule="auto"/>
              <w:jc w:val="both"/>
              <w:rPr>
                <w:rFonts w:asciiTheme="minorBidi" w:hAnsiTheme="minorBidi" w:cstheme="minorBidi"/>
                <w:sz w:val="16"/>
                <w:szCs w:val="16"/>
                <w:lang w:val="en-GB" w:eastAsia="en-GB"/>
              </w:rPr>
            </w:pPr>
          </w:p>
        </w:tc>
        <w:tc>
          <w:tcPr>
            <w:tcW w:w="1985" w:type="dxa"/>
            <w:tcBorders>
              <w:top w:val="nil"/>
              <w:bottom w:val="single" w:sz="12" w:space="0" w:color="auto"/>
            </w:tcBorders>
            <w:shd w:val="clear" w:color="auto" w:fill="DAEEF3"/>
            <w:tcMar>
              <w:top w:w="0" w:type="dxa"/>
              <w:left w:w="108" w:type="dxa"/>
              <w:bottom w:w="0" w:type="dxa"/>
              <w:right w:w="108" w:type="dxa"/>
            </w:tcMar>
          </w:tcPr>
          <w:p w:rsidR="004139C4" w:rsidRPr="00AA522B" w:rsidRDefault="00F531C4" w:rsidP="00A11D68">
            <w:pPr>
              <w:spacing w:before="40" w:after="40" w:line="276" w:lineRule="auto"/>
              <w:jc w:val="both"/>
              <w:rPr>
                <w:rFonts w:asciiTheme="minorBidi" w:hAnsiTheme="minorBidi" w:cstheme="minorBidi"/>
                <w:sz w:val="16"/>
                <w:szCs w:val="16"/>
                <w:lang w:val="en-GB" w:eastAsia="en-GB"/>
              </w:rPr>
            </w:pPr>
            <w:r>
              <w:rPr>
                <w:rFonts w:asciiTheme="minorBidi" w:hAnsiTheme="minorBidi" w:cstheme="minorBidi"/>
                <w:sz w:val="16"/>
                <w:szCs w:val="16"/>
                <w:lang w:val="en-GB" w:eastAsia="en-GB"/>
              </w:rPr>
              <w:t>4</w:t>
            </w:r>
          </w:p>
        </w:tc>
        <w:tc>
          <w:tcPr>
            <w:tcW w:w="1842" w:type="dxa"/>
            <w:tcBorders>
              <w:top w:val="nil"/>
              <w:bottom w:val="single" w:sz="12" w:space="0" w:color="auto"/>
            </w:tcBorders>
            <w:shd w:val="clear" w:color="auto" w:fill="DAEEF3"/>
            <w:tcMar>
              <w:top w:w="0" w:type="dxa"/>
              <w:left w:w="108" w:type="dxa"/>
              <w:bottom w:w="0" w:type="dxa"/>
              <w:right w:w="108" w:type="dxa"/>
            </w:tcMar>
          </w:tcPr>
          <w:p w:rsidR="004139C4" w:rsidRPr="00AA522B" w:rsidRDefault="004139C4" w:rsidP="00A11D68">
            <w:pPr>
              <w:spacing w:before="40" w:after="40" w:line="276" w:lineRule="auto"/>
              <w:jc w:val="both"/>
              <w:rPr>
                <w:rFonts w:asciiTheme="minorBidi" w:hAnsiTheme="minorBidi" w:cstheme="minorBidi"/>
                <w:sz w:val="16"/>
                <w:szCs w:val="16"/>
                <w:lang w:val="en-GB" w:eastAsia="en-GB"/>
              </w:rPr>
            </w:pPr>
          </w:p>
        </w:tc>
      </w:tr>
      <w:tr w:rsidR="00D52C00" w:rsidRPr="00AA522B" w:rsidTr="00D52C00">
        <w:tc>
          <w:tcPr>
            <w:tcW w:w="3261" w:type="dxa"/>
            <w:tcBorders>
              <w:top w:val="single" w:sz="12" w:space="0" w:color="auto"/>
              <w:bottom w:val="single" w:sz="12" w:space="0" w:color="auto"/>
            </w:tcBorders>
            <w:shd w:val="clear" w:color="auto" w:fill="auto"/>
          </w:tcPr>
          <w:p w:rsidR="00D52C00" w:rsidRPr="00AA522B" w:rsidRDefault="00D52C00" w:rsidP="00A11D68">
            <w:pPr>
              <w:spacing w:before="40" w:after="40" w:line="276" w:lineRule="auto"/>
              <w:jc w:val="both"/>
              <w:rPr>
                <w:rFonts w:asciiTheme="minorBidi" w:hAnsiTheme="minorBidi" w:cstheme="minorBidi"/>
                <w:sz w:val="16"/>
                <w:szCs w:val="16"/>
                <w:lang w:val="en-GB" w:eastAsia="en-GB"/>
              </w:rPr>
            </w:pPr>
            <w:r>
              <w:rPr>
                <w:rFonts w:asciiTheme="minorBidi" w:hAnsiTheme="minorBidi" w:cstheme="minorBidi"/>
                <w:sz w:val="16"/>
                <w:szCs w:val="16"/>
                <w:lang w:val="en-GB" w:eastAsia="en-GB"/>
              </w:rPr>
              <w:t xml:space="preserve">Overall rating of </w:t>
            </w:r>
            <w:r w:rsidR="006E5FFC">
              <w:rPr>
                <w:rFonts w:asciiTheme="minorBidi" w:hAnsiTheme="minorBidi" w:cstheme="minorBidi"/>
                <w:sz w:val="16"/>
                <w:szCs w:val="16"/>
                <w:lang w:val="en-GB" w:eastAsia="en-GB"/>
              </w:rPr>
              <w:t>the project completion report</w:t>
            </w:r>
          </w:p>
        </w:tc>
        <w:tc>
          <w:tcPr>
            <w:tcW w:w="1984" w:type="dxa"/>
            <w:tcBorders>
              <w:top w:val="single" w:sz="12" w:space="0" w:color="auto"/>
              <w:bottom w:val="single" w:sz="12" w:space="0" w:color="auto"/>
            </w:tcBorders>
            <w:shd w:val="clear" w:color="auto" w:fill="auto"/>
          </w:tcPr>
          <w:p w:rsidR="00D52C00" w:rsidRPr="00AA522B" w:rsidRDefault="00D52C00" w:rsidP="00A11D68">
            <w:pPr>
              <w:spacing w:before="40" w:after="40" w:line="276" w:lineRule="auto"/>
              <w:jc w:val="both"/>
              <w:rPr>
                <w:rFonts w:asciiTheme="minorBidi" w:hAnsiTheme="minorBidi" w:cstheme="minorBidi"/>
                <w:sz w:val="16"/>
                <w:szCs w:val="16"/>
                <w:lang w:val="en-GB" w:eastAsia="en-GB"/>
              </w:rPr>
            </w:pPr>
          </w:p>
        </w:tc>
        <w:tc>
          <w:tcPr>
            <w:tcW w:w="1985" w:type="dxa"/>
            <w:tcBorders>
              <w:top w:val="single" w:sz="12" w:space="0" w:color="auto"/>
              <w:bottom w:val="single" w:sz="12" w:space="0" w:color="auto"/>
            </w:tcBorders>
            <w:shd w:val="clear" w:color="auto" w:fill="auto"/>
            <w:tcMar>
              <w:top w:w="0" w:type="dxa"/>
              <w:left w:w="108" w:type="dxa"/>
              <w:bottom w:w="0" w:type="dxa"/>
              <w:right w:w="108" w:type="dxa"/>
            </w:tcMar>
          </w:tcPr>
          <w:p w:rsidR="00D52C00" w:rsidRPr="00AA522B" w:rsidRDefault="00F531C4" w:rsidP="00A11D68">
            <w:pPr>
              <w:spacing w:before="40" w:after="40" w:line="276" w:lineRule="auto"/>
              <w:jc w:val="both"/>
              <w:rPr>
                <w:rFonts w:asciiTheme="minorBidi" w:hAnsiTheme="minorBidi" w:cstheme="minorBidi"/>
                <w:sz w:val="16"/>
                <w:szCs w:val="16"/>
                <w:lang w:val="en-GB" w:eastAsia="en-GB"/>
              </w:rPr>
            </w:pPr>
            <w:r>
              <w:rPr>
                <w:rFonts w:asciiTheme="minorBidi" w:hAnsiTheme="minorBidi" w:cstheme="minorBidi"/>
                <w:sz w:val="16"/>
                <w:szCs w:val="16"/>
                <w:lang w:val="en-GB" w:eastAsia="en-GB"/>
              </w:rPr>
              <w:t>4</w:t>
            </w:r>
          </w:p>
        </w:tc>
        <w:tc>
          <w:tcPr>
            <w:tcW w:w="1842" w:type="dxa"/>
            <w:tcBorders>
              <w:top w:val="single" w:sz="12" w:space="0" w:color="auto"/>
              <w:bottom w:val="single" w:sz="12" w:space="0" w:color="auto"/>
            </w:tcBorders>
            <w:shd w:val="clear" w:color="auto" w:fill="auto"/>
            <w:tcMar>
              <w:top w:w="0" w:type="dxa"/>
              <w:left w:w="108" w:type="dxa"/>
              <w:bottom w:w="0" w:type="dxa"/>
              <w:right w:w="108" w:type="dxa"/>
            </w:tcMar>
          </w:tcPr>
          <w:p w:rsidR="00D52C00" w:rsidRPr="00AA522B" w:rsidRDefault="00D52C00" w:rsidP="00A11D68">
            <w:pPr>
              <w:spacing w:before="40" w:after="40" w:line="276" w:lineRule="auto"/>
              <w:jc w:val="both"/>
              <w:rPr>
                <w:rFonts w:asciiTheme="minorBidi" w:hAnsiTheme="minorBidi" w:cstheme="minorBidi"/>
                <w:sz w:val="16"/>
                <w:szCs w:val="16"/>
                <w:lang w:val="en-GB" w:eastAsia="en-GB"/>
              </w:rPr>
            </w:pPr>
          </w:p>
        </w:tc>
      </w:tr>
    </w:tbl>
    <w:p w:rsidR="00D52C00" w:rsidRDefault="00D52C00" w:rsidP="00A11D68">
      <w:pPr>
        <w:tabs>
          <w:tab w:val="left" w:pos="397"/>
          <w:tab w:val="left" w:pos="737"/>
        </w:tabs>
        <w:spacing w:before="60"/>
        <w:ind w:right="-45"/>
        <w:jc w:val="both"/>
        <w:rPr>
          <w:rFonts w:asciiTheme="minorBidi" w:hAnsiTheme="minorBidi" w:cstheme="minorBidi"/>
          <w:color w:val="000000"/>
          <w:vertAlign w:val="superscript"/>
          <w:lang w:val="en-GB" w:eastAsia="en-GB"/>
        </w:rPr>
      </w:pPr>
      <w:r w:rsidRPr="008246B9">
        <w:rPr>
          <w:rFonts w:asciiTheme="minorBidi" w:hAnsiTheme="minorBidi" w:cstheme="minorBidi"/>
          <w:color w:val="000000"/>
          <w:sz w:val="16"/>
          <w:szCs w:val="24"/>
          <w:lang w:val="en-GB" w:eastAsia="en-GB"/>
        </w:rPr>
        <w:t xml:space="preserve">Rating scale: </w:t>
      </w:r>
      <w:proofErr w:type="gramStart"/>
      <w:r w:rsidRPr="008246B9">
        <w:rPr>
          <w:rFonts w:asciiTheme="minorBidi" w:hAnsiTheme="minorBidi" w:cstheme="minorBidi"/>
          <w:color w:val="000000"/>
          <w:sz w:val="16"/>
          <w:szCs w:val="24"/>
          <w:lang w:val="en-GB" w:eastAsia="en-GB"/>
        </w:rPr>
        <w:t>1</w:t>
      </w:r>
      <w:proofErr w:type="gramEnd"/>
      <w:r w:rsidRPr="008246B9">
        <w:rPr>
          <w:rFonts w:asciiTheme="minorBidi" w:hAnsiTheme="minorBidi" w:cstheme="minorBidi"/>
          <w:color w:val="000000"/>
          <w:sz w:val="16"/>
          <w:szCs w:val="24"/>
          <w:lang w:val="en-GB" w:eastAsia="en-GB"/>
        </w:rPr>
        <w:t xml:space="preserve"> = highly unsatisfactory; 2 = unsatisfactory; 3 = moderately unsatisfactory; 4 = moderately satisfactory; </w:t>
      </w:r>
      <w:r w:rsidR="006E5FFC">
        <w:rPr>
          <w:rFonts w:asciiTheme="minorBidi" w:hAnsiTheme="minorBidi" w:cstheme="minorBidi"/>
          <w:color w:val="000000"/>
          <w:sz w:val="16"/>
          <w:szCs w:val="24"/>
          <w:lang w:val="en-GB" w:eastAsia="en-GB"/>
        </w:rPr>
        <w:t>5 </w:t>
      </w:r>
      <w:r w:rsidRPr="008246B9">
        <w:rPr>
          <w:rFonts w:asciiTheme="minorBidi" w:hAnsiTheme="minorBidi" w:cstheme="minorBidi"/>
          <w:color w:val="000000"/>
          <w:sz w:val="16"/>
          <w:szCs w:val="24"/>
          <w:lang w:val="en-GB" w:eastAsia="en-GB"/>
        </w:rPr>
        <w:t xml:space="preserve">= satisfactory; 6 = highly satisfactory; </w:t>
      </w:r>
      <w:proofErr w:type="spellStart"/>
      <w:r w:rsidRPr="008246B9">
        <w:rPr>
          <w:rFonts w:asciiTheme="minorBidi" w:hAnsiTheme="minorBidi" w:cstheme="minorBidi"/>
          <w:color w:val="000000"/>
          <w:sz w:val="16"/>
          <w:szCs w:val="24"/>
          <w:lang w:val="en-GB" w:eastAsia="en-GB"/>
        </w:rPr>
        <w:t>n.p</w:t>
      </w:r>
      <w:proofErr w:type="spellEnd"/>
      <w:r w:rsidRPr="008246B9">
        <w:rPr>
          <w:rFonts w:asciiTheme="minorBidi" w:hAnsiTheme="minorBidi" w:cstheme="minorBidi"/>
          <w:color w:val="000000"/>
          <w:sz w:val="16"/>
          <w:szCs w:val="24"/>
          <w:lang w:val="en-GB" w:eastAsia="en-GB"/>
        </w:rPr>
        <w:t xml:space="preserve">. = not provided; </w:t>
      </w:r>
      <w:proofErr w:type="spellStart"/>
      <w:r w:rsidRPr="008246B9">
        <w:rPr>
          <w:rFonts w:asciiTheme="minorBidi" w:hAnsiTheme="minorBidi" w:cstheme="minorBidi"/>
          <w:color w:val="000000"/>
          <w:sz w:val="16"/>
          <w:szCs w:val="24"/>
          <w:lang w:val="en-GB" w:eastAsia="en-GB"/>
        </w:rPr>
        <w:t>n.a</w:t>
      </w:r>
      <w:proofErr w:type="spellEnd"/>
      <w:r w:rsidRPr="008246B9">
        <w:rPr>
          <w:rFonts w:asciiTheme="minorBidi" w:hAnsiTheme="minorBidi" w:cstheme="minorBidi"/>
          <w:color w:val="000000"/>
          <w:sz w:val="16"/>
          <w:szCs w:val="24"/>
          <w:lang w:val="en-GB" w:eastAsia="en-GB"/>
        </w:rPr>
        <w:t>. = not applicable.</w:t>
      </w:r>
    </w:p>
    <w:p w:rsidR="009852E3" w:rsidRDefault="009852E3" w:rsidP="00A11D68">
      <w:pPr>
        <w:jc w:val="both"/>
        <w:rPr>
          <w:rFonts w:asciiTheme="minorBidi" w:hAnsiTheme="minorBidi"/>
          <w:sz w:val="16"/>
          <w:szCs w:val="16"/>
          <w:lang w:val="en-GB" w:eastAsia="en-GB"/>
        </w:rPr>
      </w:pPr>
    </w:p>
    <w:p w:rsidR="00931850" w:rsidRDefault="00931850" w:rsidP="00A11D68">
      <w:pPr>
        <w:jc w:val="both"/>
        <w:rPr>
          <w:rFonts w:asciiTheme="minorBidi" w:hAnsiTheme="minorBidi"/>
          <w:sz w:val="16"/>
          <w:szCs w:val="16"/>
          <w:lang w:val="en-GB" w:eastAsia="en-GB"/>
        </w:rPr>
      </w:pPr>
    </w:p>
    <w:p w:rsidR="00931850" w:rsidRDefault="00931850" w:rsidP="00A11D68">
      <w:pPr>
        <w:jc w:val="both"/>
        <w:rPr>
          <w:rFonts w:asciiTheme="minorBidi" w:hAnsiTheme="minorBidi"/>
          <w:sz w:val="16"/>
          <w:szCs w:val="16"/>
          <w:lang w:val="en-GB" w:eastAsia="en-GB"/>
        </w:rPr>
      </w:pPr>
    </w:p>
    <w:p w:rsidR="00931850" w:rsidRDefault="00931850" w:rsidP="00A11D68">
      <w:pPr>
        <w:jc w:val="both"/>
        <w:rPr>
          <w:rFonts w:asciiTheme="minorBidi" w:hAnsiTheme="minorBidi"/>
          <w:sz w:val="16"/>
          <w:szCs w:val="16"/>
          <w:lang w:val="en-GB" w:eastAsia="en-GB"/>
        </w:rPr>
      </w:pPr>
    </w:p>
    <w:p w:rsidR="00931850" w:rsidRDefault="00931850" w:rsidP="00A11D68">
      <w:pPr>
        <w:jc w:val="both"/>
        <w:rPr>
          <w:rFonts w:asciiTheme="minorBidi" w:hAnsiTheme="minorBidi"/>
          <w:sz w:val="16"/>
          <w:szCs w:val="16"/>
          <w:lang w:val="en-GB" w:eastAsia="en-GB"/>
        </w:rPr>
        <w:sectPr w:rsidR="00931850" w:rsidSect="00E76BB4">
          <w:headerReference w:type="default" r:id="rId16"/>
          <w:footerReference w:type="default" r:id="rId17"/>
          <w:pgSz w:w="11909" w:h="16834"/>
          <w:pgMar w:top="1440" w:right="1440" w:bottom="1440" w:left="1440" w:header="720" w:footer="720" w:gutter="0"/>
          <w:cols w:space="720"/>
        </w:sectPr>
      </w:pPr>
    </w:p>
    <w:p w:rsidR="00931850" w:rsidRPr="00931850" w:rsidRDefault="001B0CCC" w:rsidP="001B0CCC">
      <w:pPr>
        <w:pStyle w:val="Annex"/>
        <w:jc w:val="both"/>
      </w:pPr>
      <w:bookmarkStart w:id="18" w:name="_Toc319488766"/>
      <w:bookmarkStart w:id="19" w:name="_Toc323554735"/>
      <w:bookmarkStart w:id="20" w:name="_Toc323556871"/>
      <w:bookmarkStart w:id="21" w:name="_Toc338850177"/>
      <w:r>
        <w:t>Physical progress reported in PCR</w:t>
      </w:r>
    </w:p>
    <w:tbl>
      <w:tblPr>
        <w:tblStyle w:val="TableGrid"/>
        <w:tblW w:w="9180" w:type="dxa"/>
        <w:tblLayout w:type="fixed"/>
        <w:tblLook w:val="04A0" w:firstRow="1" w:lastRow="0" w:firstColumn="1" w:lastColumn="0" w:noHBand="0" w:noVBand="1"/>
      </w:tblPr>
      <w:tblGrid>
        <w:gridCol w:w="4248"/>
        <w:gridCol w:w="1417"/>
        <w:gridCol w:w="993"/>
        <w:gridCol w:w="1275"/>
        <w:gridCol w:w="1247"/>
      </w:tblGrid>
      <w:tr w:rsidR="00931850" w:rsidRPr="00931850" w:rsidTr="001B0CCC">
        <w:trPr>
          <w:trHeight w:val="20"/>
          <w:tblHeader/>
        </w:trPr>
        <w:tc>
          <w:tcPr>
            <w:tcW w:w="4248" w:type="dxa"/>
            <w:hideMark/>
          </w:tcPr>
          <w:p w:rsidR="00931850" w:rsidRPr="00931850" w:rsidRDefault="00931850" w:rsidP="00326788">
            <w:pPr>
              <w:spacing w:before="40" w:after="40"/>
              <w:jc w:val="left"/>
              <w:rPr>
                <w:rFonts w:asciiTheme="minorBidi" w:hAnsiTheme="minorBidi" w:cstheme="minorBidi"/>
                <w:b/>
                <w:bCs/>
                <w:sz w:val="16"/>
                <w:szCs w:val="16"/>
              </w:rPr>
            </w:pPr>
            <w:r w:rsidRPr="00931850">
              <w:rPr>
                <w:rFonts w:asciiTheme="minorBidi" w:hAnsiTheme="minorBidi" w:cstheme="minorBidi"/>
                <w:b/>
                <w:bCs/>
                <w:sz w:val="16"/>
                <w:szCs w:val="16"/>
              </w:rPr>
              <w:t>Activity</w:t>
            </w:r>
          </w:p>
        </w:tc>
        <w:tc>
          <w:tcPr>
            <w:tcW w:w="1417" w:type="dxa"/>
            <w:hideMark/>
          </w:tcPr>
          <w:p w:rsidR="00931850" w:rsidRPr="00931850" w:rsidRDefault="00931850" w:rsidP="00A11D68">
            <w:pPr>
              <w:spacing w:before="40" w:after="40"/>
              <w:rPr>
                <w:rFonts w:asciiTheme="minorBidi" w:hAnsiTheme="minorBidi" w:cstheme="minorBidi"/>
                <w:b/>
                <w:bCs/>
                <w:sz w:val="16"/>
                <w:szCs w:val="16"/>
              </w:rPr>
            </w:pPr>
            <w:r w:rsidRPr="00931850">
              <w:rPr>
                <w:rFonts w:asciiTheme="minorBidi" w:hAnsiTheme="minorBidi" w:cstheme="minorBidi"/>
                <w:b/>
                <w:bCs/>
                <w:sz w:val="16"/>
                <w:szCs w:val="16"/>
              </w:rPr>
              <w:t>Unit</w:t>
            </w:r>
          </w:p>
        </w:tc>
        <w:tc>
          <w:tcPr>
            <w:tcW w:w="993" w:type="dxa"/>
            <w:noWrap/>
            <w:hideMark/>
          </w:tcPr>
          <w:p w:rsidR="00931850" w:rsidRPr="00931850" w:rsidRDefault="00931850" w:rsidP="00A11D68">
            <w:pPr>
              <w:spacing w:before="40" w:after="40"/>
              <w:rPr>
                <w:rFonts w:asciiTheme="minorBidi" w:hAnsiTheme="minorBidi" w:cstheme="minorBidi"/>
                <w:b/>
                <w:bCs/>
                <w:sz w:val="16"/>
                <w:szCs w:val="16"/>
              </w:rPr>
            </w:pPr>
            <w:r w:rsidRPr="00931850">
              <w:rPr>
                <w:rFonts w:asciiTheme="minorBidi" w:hAnsiTheme="minorBidi" w:cstheme="minorBidi"/>
                <w:b/>
                <w:bCs/>
                <w:sz w:val="16"/>
                <w:szCs w:val="16"/>
              </w:rPr>
              <w:t>Project Target</w:t>
            </w:r>
          </w:p>
        </w:tc>
        <w:tc>
          <w:tcPr>
            <w:tcW w:w="1275" w:type="dxa"/>
            <w:noWrap/>
            <w:hideMark/>
          </w:tcPr>
          <w:p w:rsidR="00931850" w:rsidRPr="00931850" w:rsidRDefault="00931850" w:rsidP="00A11D68">
            <w:pPr>
              <w:spacing w:before="40" w:after="40"/>
              <w:rPr>
                <w:rFonts w:asciiTheme="minorBidi" w:hAnsiTheme="minorBidi" w:cstheme="minorBidi"/>
                <w:b/>
                <w:bCs/>
                <w:sz w:val="16"/>
                <w:szCs w:val="16"/>
              </w:rPr>
            </w:pPr>
            <w:r w:rsidRPr="00931850">
              <w:rPr>
                <w:rFonts w:asciiTheme="minorBidi" w:hAnsiTheme="minorBidi" w:cstheme="minorBidi"/>
                <w:b/>
                <w:bCs/>
                <w:sz w:val="16"/>
                <w:szCs w:val="16"/>
              </w:rPr>
              <w:t>Cumulative achievement</w:t>
            </w:r>
          </w:p>
        </w:tc>
        <w:tc>
          <w:tcPr>
            <w:tcW w:w="1247" w:type="dxa"/>
            <w:noWrap/>
            <w:hideMark/>
          </w:tcPr>
          <w:p w:rsidR="00931850" w:rsidRPr="00931850" w:rsidRDefault="00931850" w:rsidP="00A11D68">
            <w:pPr>
              <w:spacing w:before="40" w:after="40"/>
              <w:rPr>
                <w:rFonts w:asciiTheme="minorBidi" w:hAnsiTheme="minorBidi" w:cstheme="minorBidi"/>
                <w:b/>
                <w:bCs/>
                <w:sz w:val="16"/>
                <w:szCs w:val="16"/>
              </w:rPr>
            </w:pPr>
            <w:r w:rsidRPr="00931850">
              <w:rPr>
                <w:rFonts w:asciiTheme="minorBidi" w:hAnsiTheme="minorBidi" w:cstheme="minorBidi"/>
                <w:b/>
                <w:bCs/>
                <w:sz w:val="16"/>
                <w:szCs w:val="16"/>
              </w:rPr>
              <w:t>Achievement %</w:t>
            </w:r>
          </w:p>
        </w:tc>
      </w:tr>
      <w:tr w:rsidR="00931850" w:rsidRPr="00931850" w:rsidTr="001B0CCC">
        <w:trPr>
          <w:trHeight w:val="20"/>
        </w:trPr>
        <w:tc>
          <w:tcPr>
            <w:tcW w:w="4248" w:type="dxa"/>
            <w:noWrap/>
            <w:vAlign w:val="bottom"/>
            <w:hideMark/>
          </w:tcPr>
          <w:p w:rsidR="00931850" w:rsidRPr="00931850" w:rsidRDefault="00931850" w:rsidP="00326788">
            <w:pPr>
              <w:spacing w:before="40" w:after="40"/>
              <w:jc w:val="left"/>
              <w:rPr>
                <w:b/>
                <w:bCs/>
                <w:sz w:val="16"/>
                <w:szCs w:val="16"/>
              </w:rPr>
            </w:pPr>
            <w:r w:rsidRPr="00931850">
              <w:rPr>
                <w:b/>
                <w:bCs/>
                <w:sz w:val="16"/>
                <w:szCs w:val="16"/>
              </w:rPr>
              <w:t>Component I: Institutional and Regulatory Environment Strengthening and Development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vAlign w:val="bottom"/>
            <w:hideMark/>
          </w:tcPr>
          <w:p w:rsidR="00931850" w:rsidRPr="00931850" w:rsidRDefault="00931850" w:rsidP="00A11D68">
            <w:pPr>
              <w:spacing w:before="40" w:after="40"/>
              <w:rPr>
                <w:b/>
                <w:bCs/>
                <w:sz w:val="16"/>
                <w:szCs w:val="16"/>
              </w:rPr>
            </w:pPr>
            <w:r w:rsidRPr="00931850">
              <w:rPr>
                <w:b/>
                <w:bCs/>
                <w:sz w:val="16"/>
                <w:szCs w:val="16"/>
              </w:rPr>
              <w:t> </w:t>
            </w:r>
          </w:p>
        </w:tc>
        <w:tc>
          <w:tcPr>
            <w:tcW w:w="1275" w:type="dxa"/>
            <w:vAlign w:val="bottom"/>
            <w:hideMark/>
          </w:tcPr>
          <w:p w:rsidR="00931850" w:rsidRPr="00931850" w:rsidRDefault="00931850" w:rsidP="00A11D68">
            <w:pPr>
              <w:spacing w:before="40" w:after="40"/>
              <w:rPr>
                <w:b/>
                <w:bCs/>
                <w:sz w:val="16"/>
                <w:szCs w:val="16"/>
              </w:rPr>
            </w:pPr>
            <w:r w:rsidRPr="00931850">
              <w:rPr>
                <w:b/>
                <w:bCs/>
                <w:sz w:val="16"/>
                <w:szCs w:val="16"/>
              </w:rPr>
              <w:t> </w:t>
            </w:r>
          </w:p>
        </w:tc>
        <w:tc>
          <w:tcPr>
            <w:tcW w:w="1247" w:type="dxa"/>
            <w:vAlign w:val="bottom"/>
            <w:hideMark/>
          </w:tcPr>
          <w:p w:rsidR="00931850" w:rsidRPr="00931850" w:rsidRDefault="00931850" w:rsidP="00A11D68">
            <w:pPr>
              <w:spacing w:before="40" w:after="40"/>
              <w:rPr>
                <w:b/>
                <w:bCs/>
                <w:sz w:val="16"/>
                <w:szCs w:val="16"/>
              </w:rPr>
            </w:pPr>
            <w:r w:rsidRPr="00931850">
              <w:rPr>
                <w:b/>
                <w:bCs/>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spacing w:before="40" w:after="40"/>
              <w:jc w:val="left"/>
              <w:rPr>
                <w:b/>
                <w:bCs/>
                <w:sz w:val="16"/>
                <w:szCs w:val="16"/>
              </w:rPr>
            </w:pPr>
            <w:r w:rsidRPr="00931850">
              <w:rPr>
                <w:b/>
                <w:bCs/>
                <w:sz w:val="16"/>
                <w:szCs w:val="16"/>
              </w:rPr>
              <w:t>A. Federal Level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spacing w:before="40" w:after="40"/>
              <w:jc w:val="left"/>
              <w:rPr>
                <w:b/>
                <w:bCs/>
                <w:sz w:val="16"/>
                <w:szCs w:val="16"/>
              </w:rPr>
            </w:pPr>
            <w:r w:rsidRPr="00931850">
              <w:rPr>
                <w:b/>
                <w:bCs/>
                <w:sz w:val="16"/>
                <w:szCs w:val="16"/>
              </w:rPr>
              <w:t>1. Infrastructure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4"/>
              </w:tabs>
              <w:spacing w:before="40" w:after="40"/>
              <w:jc w:val="left"/>
              <w:rPr>
                <w:sz w:val="16"/>
                <w:szCs w:val="16"/>
              </w:rPr>
            </w:pPr>
            <w:r w:rsidRPr="00931850">
              <w:rPr>
                <w:sz w:val="16"/>
                <w:szCs w:val="16"/>
              </w:rPr>
              <w:tab/>
              <w:t>Refurbishment of Central Laboratory</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spacing w:before="40" w:after="40"/>
              <w:jc w:val="left"/>
              <w:rPr>
                <w:b/>
                <w:bCs/>
                <w:sz w:val="16"/>
                <w:szCs w:val="16"/>
              </w:rPr>
            </w:pPr>
            <w:r w:rsidRPr="00931850">
              <w:rPr>
                <w:b/>
                <w:bCs/>
                <w:sz w:val="16"/>
                <w:szCs w:val="16"/>
              </w:rPr>
              <w:t>2. Technical Assistance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Plant variety protection legal expert (IC)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 -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Plant breeding strategy developed (IC)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Seed Policy Consultant (IC)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Support Annual Forum (International Consultant)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Plant breeding strategy developed (National Consultant)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Seed Policy Development (National Consultant)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Development of FSA lab manual (national Consultant)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4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25 </w:t>
            </w:r>
          </w:p>
        </w:tc>
      </w:tr>
      <w:tr w:rsidR="00931850" w:rsidRPr="00931850" w:rsidTr="001B0CCC">
        <w:trPr>
          <w:trHeight w:val="20"/>
        </w:trPr>
        <w:tc>
          <w:tcPr>
            <w:tcW w:w="4248" w:type="dxa"/>
            <w:noWrap/>
            <w:vAlign w:val="bottom"/>
            <w:hideMark/>
          </w:tcPr>
          <w:p w:rsidR="00931850" w:rsidRPr="00931850" w:rsidRDefault="00931850" w:rsidP="00326788">
            <w:pPr>
              <w:spacing w:before="40" w:after="40"/>
              <w:jc w:val="left"/>
              <w:rPr>
                <w:b/>
                <w:bCs/>
                <w:sz w:val="16"/>
                <w:szCs w:val="16"/>
              </w:rPr>
            </w:pPr>
            <w:r w:rsidRPr="00931850">
              <w:rPr>
                <w:b/>
                <w:bCs/>
                <w:sz w:val="16"/>
                <w:szCs w:val="16"/>
              </w:rPr>
              <w:t>3. Training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t>Crop seed technology course for developing countries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Trainee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t>Protection of new plant varieties, breeders' rights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Trainee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r>
            <w:r w:rsidR="003D11AF">
              <w:rPr>
                <w:sz w:val="16"/>
                <w:szCs w:val="16"/>
              </w:rPr>
              <w:t xml:space="preserve">Plant Variety Protection </w:t>
            </w:r>
            <w:r w:rsidRPr="00931850">
              <w:rPr>
                <w:sz w:val="16"/>
                <w:szCs w:val="16"/>
              </w:rPr>
              <w:t>Legislation Consultative Workshop</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t>P</w:t>
            </w:r>
            <w:r w:rsidR="00326788">
              <w:rPr>
                <w:sz w:val="16"/>
                <w:szCs w:val="16"/>
              </w:rPr>
              <w:t xml:space="preserve">lant </w:t>
            </w:r>
            <w:r w:rsidRPr="00931850">
              <w:rPr>
                <w:sz w:val="16"/>
                <w:szCs w:val="16"/>
              </w:rPr>
              <w:t>V</w:t>
            </w:r>
            <w:r w:rsidR="00326788">
              <w:rPr>
                <w:sz w:val="16"/>
                <w:szCs w:val="16"/>
              </w:rPr>
              <w:t xml:space="preserve">ariety </w:t>
            </w:r>
            <w:r w:rsidRPr="00931850">
              <w:rPr>
                <w:sz w:val="16"/>
                <w:szCs w:val="16"/>
              </w:rPr>
              <w:t>P</w:t>
            </w:r>
            <w:r w:rsidR="00326788">
              <w:rPr>
                <w:sz w:val="16"/>
                <w:szCs w:val="16"/>
              </w:rPr>
              <w:t>rotection</w:t>
            </w:r>
            <w:r w:rsidRPr="00931850">
              <w:rPr>
                <w:sz w:val="16"/>
                <w:szCs w:val="16"/>
              </w:rPr>
              <w:t xml:space="preserve"> training for breeders and NSA staff</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t>Seed Health Testing Course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Trainee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50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t>ISTA laboratory quality assurance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Trainee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150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t>Train SA staff - inspectors and seed analysts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50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t>Training of Trainers on Seed Technology</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Trainee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t>Computer training &amp; specialized software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99"/>
              </w:tabs>
              <w:spacing w:before="40" w:after="40"/>
              <w:jc w:val="left"/>
              <w:rPr>
                <w:sz w:val="16"/>
                <w:szCs w:val="16"/>
              </w:rPr>
            </w:pPr>
            <w:r w:rsidRPr="00931850">
              <w:rPr>
                <w:sz w:val="16"/>
                <w:szCs w:val="16"/>
              </w:rPr>
              <w:tab/>
              <w:t>Facilitate the convening of a national bi-annual forum</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Forum</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12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17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P</w:t>
            </w:r>
            <w:r w:rsidR="00326788">
              <w:rPr>
                <w:sz w:val="16"/>
                <w:szCs w:val="16"/>
              </w:rPr>
              <w:t xml:space="preserve">lant </w:t>
            </w:r>
            <w:r w:rsidRPr="00931850">
              <w:rPr>
                <w:sz w:val="16"/>
                <w:szCs w:val="16"/>
              </w:rPr>
              <w:t>V</w:t>
            </w:r>
            <w:r w:rsidR="00326788">
              <w:rPr>
                <w:sz w:val="16"/>
                <w:szCs w:val="16"/>
              </w:rPr>
              <w:t xml:space="preserve">ariety </w:t>
            </w:r>
            <w:r w:rsidRPr="00931850">
              <w:rPr>
                <w:sz w:val="16"/>
                <w:szCs w:val="16"/>
              </w:rPr>
              <w:t>P</w:t>
            </w:r>
            <w:r w:rsidR="00326788">
              <w:rPr>
                <w:sz w:val="16"/>
                <w:szCs w:val="16"/>
              </w:rPr>
              <w:t>rotection</w:t>
            </w:r>
            <w:r w:rsidRPr="00931850">
              <w:rPr>
                <w:sz w:val="16"/>
                <w:szCs w:val="16"/>
              </w:rPr>
              <w:t xml:space="preserve"> Legislation Consultative Workshop</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Annual subscription – ISTA</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 annum</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4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67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Participation in international Fora and ISTA workshops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Participant</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8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133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National Forum</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Forum</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5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60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Training on seed diseases for 3 seed administration staff-Internal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Training on seed laboratory test for FSA and SSA in Egypt-External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 xml:space="preserve">Training on fields inspection in Egypt for FSA and SSA-External </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Workshop on seed sampling -External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Workshop on seed health -External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Workshop on variety verification -External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Workshop on seed vigour -External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Training on variety verification -External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Training on Field inspection -ICARDA-External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Training on Laboratory tests-ICARDA-External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72"/>
              </w:tabs>
              <w:spacing w:before="40" w:after="40"/>
              <w:jc w:val="left"/>
              <w:rPr>
                <w:sz w:val="16"/>
                <w:szCs w:val="16"/>
              </w:rPr>
            </w:pPr>
            <w:r w:rsidRPr="00931850">
              <w:rPr>
                <w:sz w:val="16"/>
                <w:szCs w:val="16"/>
              </w:rPr>
              <w:tab/>
              <w:t>Thematic seminars, and workshops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 annum</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24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14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58 </w:t>
            </w:r>
          </w:p>
        </w:tc>
      </w:tr>
      <w:tr w:rsidR="00931850" w:rsidRPr="00931850" w:rsidTr="001B0CCC">
        <w:trPr>
          <w:trHeight w:val="20"/>
        </w:trPr>
        <w:tc>
          <w:tcPr>
            <w:tcW w:w="4248" w:type="dxa"/>
            <w:noWrap/>
            <w:vAlign w:val="bottom"/>
            <w:hideMark/>
          </w:tcPr>
          <w:p w:rsidR="00931850" w:rsidRPr="00931850" w:rsidRDefault="00931850" w:rsidP="00326788">
            <w:pPr>
              <w:spacing w:before="40" w:after="40"/>
              <w:jc w:val="left"/>
              <w:rPr>
                <w:b/>
                <w:bCs/>
                <w:sz w:val="16"/>
                <w:szCs w:val="16"/>
              </w:rPr>
            </w:pPr>
            <w:r w:rsidRPr="00931850">
              <w:rPr>
                <w:b/>
                <w:bCs/>
                <w:sz w:val="16"/>
                <w:szCs w:val="16"/>
              </w:rPr>
              <w:t xml:space="preserve">B. State Level (North and South </w:t>
            </w:r>
            <w:proofErr w:type="spellStart"/>
            <w:r w:rsidRPr="00931850">
              <w:rPr>
                <w:b/>
                <w:bCs/>
                <w:sz w:val="16"/>
                <w:szCs w:val="16"/>
              </w:rPr>
              <w:t>Kordofan</w:t>
            </w:r>
            <w:proofErr w:type="spellEnd"/>
            <w:r w:rsidRPr="00931850">
              <w:rPr>
                <w:b/>
                <w:bCs/>
                <w:sz w:val="16"/>
                <w:szCs w:val="16"/>
              </w:rPr>
              <w: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spacing w:before="40" w:after="40"/>
              <w:jc w:val="left"/>
              <w:rPr>
                <w:b/>
                <w:bCs/>
                <w:sz w:val="16"/>
                <w:szCs w:val="16"/>
              </w:rPr>
            </w:pPr>
            <w:r w:rsidRPr="00931850">
              <w:rPr>
                <w:b/>
                <w:bCs/>
                <w:sz w:val="16"/>
                <w:szCs w:val="16"/>
              </w:rPr>
              <w:t>1. Infrastructure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Rehabilitate offices and staff accommodation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spacing w:before="40" w:after="40"/>
              <w:jc w:val="left"/>
              <w:rPr>
                <w:b/>
                <w:bCs/>
                <w:sz w:val="16"/>
                <w:szCs w:val="16"/>
              </w:rPr>
            </w:pPr>
            <w:r w:rsidRPr="00931850">
              <w:rPr>
                <w:b/>
                <w:bCs/>
                <w:sz w:val="16"/>
                <w:szCs w:val="16"/>
              </w:rPr>
              <w:t>2. Training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Seed health testing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Tetrazolium test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50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Seed pathology</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Seed processing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Seed Technology</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Traditional seed testing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Training of NSA staff out posted to state level - laboratory staff</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Training of State Seed Unit staff – Internal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150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Facilitate the convening of a state forum</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Forum</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17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Training in Laboratory Test-External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Training in field inspection-External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Component one average achievement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Component II: Improvement of the Seed Production System</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 xml:space="preserve">A. State Level (North and South </w:t>
            </w:r>
            <w:proofErr w:type="spellStart"/>
            <w:r w:rsidRPr="00931850">
              <w:rPr>
                <w:b/>
                <w:bCs/>
                <w:sz w:val="16"/>
                <w:szCs w:val="16"/>
              </w:rPr>
              <w:t>Kordofan</w:t>
            </w:r>
            <w:proofErr w:type="spellEnd"/>
            <w:r w:rsidRPr="00931850">
              <w:rPr>
                <w:b/>
                <w:bCs/>
                <w:sz w:val="16"/>
                <w:szCs w:val="16"/>
              </w:rPr>
              <w: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1. Infrastructure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Renovate breeders' seed storage at ARC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2. Training &amp; Capacity Building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2.1 Capacity building of ARC staff</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Crop Breeding - External (ARC)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Water harvesting techniques - External (ARC)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Participatory research - External (ARC)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300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Participatory research committees formed</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16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40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250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Participatory research on-farms implemented</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rPr>
                <w:sz w:val="16"/>
                <w:szCs w:val="16"/>
              </w:rPr>
            </w:pPr>
            <w:r w:rsidRPr="00931850">
              <w:rPr>
                <w:sz w:val="16"/>
                <w:szCs w:val="16"/>
              </w:rPr>
              <w:t xml:space="preserve">60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104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173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2.2 Capacity building of Extension Teams staff</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Extension Staff - External training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Trainee</w:t>
            </w:r>
          </w:p>
        </w:tc>
        <w:tc>
          <w:tcPr>
            <w:tcW w:w="993" w:type="dxa"/>
            <w:noWrap/>
            <w:vAlign w:val="bottom"/>
            <w:hideMark/>
          </w:tcPr>
          <w:p w:rsidR="00931850" w:rsidRPr="00931850" w:rsidRDefault="00931850" w:rsidP="001B0CCC">
            <w:pPr>
              <w:spacing w:before="40" w:after="40"/>
              <w:ind w:left="64" w:right="175" w:hanging="64"/>
              <w:rPr>
                <w:sz w:val="16"/>
                <w:szCs w:val="16"/>
              </w:rPr>
            </w:pPr>
            <w:r w:rsidRPr="00931850">
              <w:rPr>
                <w:sz w:val="16"/>
                <w:szCs w:val="16"/>
              </w:rPr>
              <w:t xml:space="preserve">45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45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Gender mainstreaming in agriculture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1B0CCC">
            <w:pPr>
              <w:spacing w:before="40" w:after="40"/>
              <w:ind w:left="64" w:right="523" w:hanging="64"/>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Seed production and marketing practices – Internal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1B0CCC">
            <w:pPr>
              <w:spacing w:before="40" w:after="40"/>
              <w:ind w:left="64" w:right="523" w:hanging="64"/>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Best practices in M&amp;E and impact assessment - Internal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1B0CCC">
            <w:pPr>
              <w:spacing w:before="40" w:after="40"/>
              <w:ind w:left="64" w:right="523" w:hanging="64"/>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Farming as a business – Internal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1B0CCC">
            <w:pPr>
              <w:spacing w:before="40" w:after="40"/>
              <w:ind w:left="64" w:right="523" w:hanging="64"/>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2.3 Capacity building of farmers groups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1B0CCC">
            <w:pPr>
              <w:spacing w:before="40" w:after="40"/>
              <w:ind w:left="64" w:right="523" w:hanging="64"/>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Farming as a business – Internal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1B0CCC">
            <w:pPr>
              <w:spacing w:before="40" w:after="40"/>
              <w:ind w:left="64" w:right="523" w:hanging="64"/>
              <w:rPr>
                <w:sz w:val="16"/>
                <w:szCs w:val="16"/>
              </w:rPr>
            </w:pPr>
            <w:r w:rsidRPr="00931850">
              <w:rPr>
                <w:sz w:val="16"/>
                <w:szCs w:val="16"/>
              </w:rPr>
              <w:t xml:space="preserve">4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4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of village-based extension staff – Internal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1B0CCC">
            <w:pPr>
              <w:spacing w:before="40" w:after="40"/>
              <w:ind w:left="64" w:right="523" w:hanging="64"/>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6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Information campaigns, awareness raising, media campaign, Gender sensitization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 annum</w:t>
            </w:r>
          </w:p>
        </w:tc>
        <w:tc>
          <w:tcPr>
            <w:tcW w:w="993" w:type="dxa"/>
            <w:noWrap/>
            <w:vAlign w:val="bottom"/>
            <w:hideMark/>
          </w:tcPr>
          <w:p w:rsidR="00931850" w:rsidRPr="00931850" w:rsidRDefault="00931850" w:rsidP="001B0CCC">
            <w:pPr>
              <w:spacing w:before="40" w:after="40"/>
              <w:ind w:left="-141" w:firstLine="77"/>
              <w:rPr>
                <w:sz w:val="16"/>
                <w:szCs w:val="16"/>
              </w:rPr>
            </w:pPr>
            <w:r w:rsidRPr="00931850">
              <w:rPr>
                <w:sz w:val="16"/>
                <w:szCs w:val="16"/>
              </w:rPr>
              <w:t xml:space="preserve">12 </w:t>
            </w:r>
          </w:p>
        </w:tc>
        <w:tc>
          <w:tcPr>
            <w:tcW w:w="1275"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6 </w:t>
            </w:r>
          </w:p>
        </w:tc>
        <w:tc>
          <w:tcPr>
            <w:tcW w:w="1247" w:type="dxa"/>
            <w:noWrap/>
            <w:vAlign w:val="bottom"/>
            <w:hideMark/>
          </w:tcPr>
          <w:p w:rsidR="00931850" w:rsidRPr="00931850" w:rsidRDefault="00931850" w:rsidP="00A11D68">
            <w:pPr>
              <w:spacing w:before="40" w:after="40"/>
              <w:ind w:right="523"/>
              <w:rPr>
                <w:sz w:val="16"/>
                <w:szCs w:val="16"/>
              </w:rPr>
            </w:pPr>
            <w:r w:rsidRPr="00931850">
              <w:rPr>
                <w:sz w:val="16"/>
                <w:szCs w:val="16"/>
              </w:rPr>
              <w:t xml:space="preserve">50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National Exchange visits on successful experiences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tour</w:t>
            </w:r>
          </w:p>
        </w:tc>
        <w:tc>
          <w:tcPr>
            <w:tcW w:w="993" w:type="dxa"/>
            <w:noWrap/>
            <w:vAlign w:val="bottom"/>
            <w:hideMark/>
          </w:tcPr>
          <w:p w:rsidR="00931850" w:rsidRPr="00931850" w:rsidRDefault="00931850" w:rsidP="001B0CCC">
            <w:pPr>
              <w:spacing w:before="40" w:after="40"/>
              <w:ind w:left="64" w:right="459" w:hanging="64"/>
              <w:rPr>
                <w:sz w:val="16"/>
                <w:szCs w:val="16"/>
              </w:rPr>
            </w:pPr>
            <w:r w:rsidRPr="00931850">
              <w:rPr>
                <w:sz w:val="16"/>
                <w:szCs w:val="16"/>
              </w:rPr>
              <w:t xml:space="preserve">3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67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Women farmers in decision making and leadership</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1B0CCC">
            <w:pPr>
              <w:spacing w:before="40" w:after="40"/>
              <w:ind w:left="64" w:right="459" w:hanging="64"/>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Workshop for leaders of seed producer groups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Workshop</w:t>
            </w:r>
          </w:p>
        </w:tc>
        <w:tc>
          <w:tcPr>
            <w:tcW w:w="993" w:type="dxa"/>
            <w:noWrap/>
            <w:vAlign w:val="bottom"/>
            <w:hideMark/>
          </w:tcPr>
          <w:p w:rsidR="00931850" w:rsidRPr="00931850" w:rsidRDefault="00931850" w:rsidP="001B0CCC">
            <w:pPr>
              <w:spacing w:before="40" w:after="40"/>
              <w:ind w:left="64" w:right="459" w:hanging="64"/>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Number of SGGs formed</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ind w:left="64" w:right="459" w:hanging="64"/>
              <w:rPr>
                <w:sz w:val="16"/>
                <w:szCs w:val="16"/>
              </w:rPr>
            </w:pPr>
            <w:r w:rsidRPr="00931850">
              <w:rPr>
                <w:sz w:val="16"/>
                <w:szCs w:val="16"/>
              </w:rPr>
              <w:t xml:space="preserve">17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17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Farmers accessing advisory services for seed production (Men)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ind w:left="64" w:right="34" w:hanging="64"/>
              <w:rPr>
                <w:sz w:val="16"/>
                <w:szCs w:val="16"/>
              </w:rPr>
            </w:pPr>
            <w:r w:rsidRPr="00931850">
              <w:rPr>
                <w:sz w:val="16"/>
                <w:szCs w:val="16"/>
              </w:rPr>
              <w:t xml:space="preserve">900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862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97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Farmers accessing advisory services for seed production (Women)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ind w:left="64" w:hanging="64"/>
              <w:rPr>
                <w:sz w:val="16"/>
                <w:szCs w:val="16"/>
              </w:rPr>
            </w:pPr>
            <w:r w:rsidRPr="00931850">
              <w:rPr>
                <w:sz w:val="16"/>
                <w:szCs w:val="16"/>
              </w:rPr>
              <w:t xml:space="preserve">380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369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110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Quantity of certified seeds produced by SGGs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MT</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2 500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412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16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No. of farmers received insurance services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1 280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415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32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Total funds disbursed by IFAD for crop insurance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SDG '000</w:t>
            </w:r>
          </w:p>
        </w:tc>
        <w:tc>
          <w:tcPr>
            <w:tcW w:w="993" w:type="dxa"/>
            <w:noWrap/>
            <w:vAlign w:val="bottom"/>
            <w:hideMark/>
          </w:tcPr>
          <w:p w:rsidR="00931850" w:rsidRPr="00931850" w:rsidRDefault="00931850" w:rsidP="001B0CCC">
            <w:pPr>
              <w:spacing w:before="40" w:after="40"/>
              <w:rPr>
                <w:sz w:val="16"/>
                <w:szCs w:val="16"/>
              </w:rPr>
            </w:pPr>
            <w:r w:rsidRPr="00931850">
              <w:rPr>
                <w:sz w:val="16"/>
                <w:szCs w:val="16"/>
              </w:rPr>
              <w:t xml:space="preserve">529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62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12 </w:t>
            </w:r>
          </w:p>
        </w:tc>
      </w:tr>
      <w:tr w:rsidR="00931850" w:rsidRPr="00931850" w:rsidTr="001B0CCC">
        <w:trPr>
          <w:trHeight w:val="20"/>
        </w:trPr>
        <w:tc>
          <w:tcPr>
            <w:tcW w:w="4248" w:type="dxa"/>
            <w:noWrap/>
            <w:vAlign w:val="bottom"/>
            <w:hideMark/>
          </w:tcPr>
          <w:p w:rsidR="00931850" w:rsidRPr="00931850" w:rsidRDefault="00931850" w:rsidP="00765F7C">
            <w:pPr>
              <w:tabs>
                <w:tab w:val="left" w:pos="285"/>
              </w:tabs>
              <w:spacing w:before="40" w:after="40"/>
              <w:jc w:val="left"/>
              <w:rPr>
                <w:sz w:val="16"/>
                <w:szCs w:val="16"/>
              </w:rPr>
            </w:pPr>
            <w:r w:rsidRPr="00931850">
              <w:rPr>
                <w:sz w:val="16"/>
                <w:szCs w:val="16"/>
              </w:rPr>
              <w:tab/>
              <w:t>Total funds disbursed by</w:t>
            </w:r>
            <w:r w:rsidR="00765F7C">
              <w:rPr>
                <w:sz w:val="16"/>
                <w:szCs w:val="16"/>
              </w:rPr>
              <w:t xml:space="preserve"> the Government of Sudan</w:t>
            </w:r>
            <w:r w:rsidRPr="00931850">
              <w:rPr>
                <w:sz w:val="16"/>
                <w:szCs w:val="16"/>
              </w:rPr>
              <w:t xml:space="preserve"> for crop insurance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SDG '000</w:t>
            </w:r>
          </w:p>
        </w:tc>
        <w:tc>
          <w:tcPr>
            <w:tcW w:w="993" w:type="dxa"/>
            <w:noWrap/>
            <w:vAlign w:val="bottom"/>
            <w:hideMark/>
          </w:tcPr>
          <w:p w:rsidR="00931850" w:rsidRPr="00931850" w:rsidRDefault="00931850" w:rsidP="001B0CCC">
            <w:pPr>
              <w:spacing w:before="40" w:after="40"/>
              <w:rPr>
                <w:sz w:val="16"/>
                <w:szCs w:val="16"/>
              </w:rPr>
            </w:pPr>
            <w:r w:rsidRPr="00931850">
              <w:rPr>
                <w:sz w:val="16"/>
                <w:szCs w:val="16"/>
              </w:rPr>
              <w:t xml:space="preserve">694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62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9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Total funds disbursed by Farmers for crop insurance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SDG '000</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165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C. Project Facilitation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1. Technical Assistance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Participatory Research expert (IC)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 month</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need assessment for extension (NC)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5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5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Quantity of registered seed produced by ARC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MT</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134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9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6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Component III: Seed Market Development Support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A. Project Facilitation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1. Technical Assistance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Crop Value chain study and PPP (IC)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lump sum</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Rural Finance Expert (IC)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lump sum</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Crop Value chain study (NCT)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lump sum</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PPP Consultant (NC)</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7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7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Seed information system/database established (PCU level)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lump sum</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Maintenance and updating of MIS (ABSUMI)</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lump sum</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2. Training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Seed marketing network training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B. State Level (NK and SK)</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1. Training &amp; capacity building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of grain producers in agricultural planning by extension teams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campaigns</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Harvest day</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number</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8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8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of extension officers in Microfinance – Internal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course</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4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4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Formation of Grain Producers Groups (GPGs)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83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83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farmers in GPGs provided with certified seeds (men)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14 000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8 503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Farmers in GPGs provided with certified seeds (women)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rPr>
                <w:sz w:val="16"/>
                <w:szCs w:val="16"/>
              </w:rPr>
            </w:pPr>
            <w:r w:rsidRPr="00931850">
              <w:rPr>
                <w:sz w:val="16"/>
                <w:szCs w:val="16"/>
              </w:rPr>
              <w:t xml:space="preserve">6 000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2 487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41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Area cultivated with certified/improved seeds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000' fed</w:t>
            </w:r>
          </w:p>
        </w:tc>
        <w:tc>
          <w:tcPr>
            <w:tcW w:w="993" w:type="dxa"/>
            <w:noWrap/>
            <w:vAlign w:val="bottom"/>
            <w:hideMark/>
          </w:tcPr>
          <w:p w:rsidR="00931850" w:rsidRPr="00931850" w:rsidRDefault="00931850" w:rsidP="001B0CCC">
            <w:pPr>
              <w:spacing w:before="40" w:after="40"/>
              <w:rPr>
                <w:sz w:val="16"/>
                <w:szCs w:val="16"/>
              </w:rPr>
            </w:pPr>
            <w:r w:rsidRPr="00931850">
              <w:rPr>
                <w:sz w:val="16"/>
                <w:szCs w:val="16"/>
              </w:rPr>
              <w:t xml:space="preserve">483 000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453 000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94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Farmers in GPGs accessing Micro-finance services (men)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14 000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6 240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45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Farmers in GPGs accessing Micro-finance services (women)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ind w:right="34"/>
              <w:rPr>
                <w:sz w:val="16"/>
                <w:szCs w:val="16"/>
              </w:rPr>
            </w:pPr>
            <w:r w:rsidRPr="00931850">
              <w:rPr>
                <w:sz w:val="16"/>
                <w:szCs w:val="16"/>
              </w:rPr>
              <w:t xml:space="preserve">6 000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3 000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50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of contact farmers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Trainee</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400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456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114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Field demonstration plots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90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90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Field days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No.</w:t>
            </w:r>
          </w:p>
        </w:tc>
        <w:tc>
          <w:tcPr>
            <w:tcW w:w="993" w:type="dxa"/>
            <w:noWrap/>
            <w:vAlign w:val="bottom"/>
            <w:hideMark/>
          </w:tcPr>
          <w:p w:rsidR="00931850" w:rsidRPr="00931850" w:rsidRDefault="00931850" w:rsidP="001B0CCC">
            <w:pPr>
              <w:spacing w:before="40" w:after="40"/>
              <w:rPr>
                <w:sz w:val="16"/>
                <w:szCs w:val="16"/>
              </w:rPr>
            </w:pPr>
            <w:r w:rsidRPr="00931850">
              <w:rPr>
                <w:sz w:val="16"/>
                <w:szCs w:val="16"/>
              </w:rPr>
              <w:t xml:space="preserve">1 200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317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26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Formation and development of savings and credit groups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group</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395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66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Formation and development of Community investment committee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association</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200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5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3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Internal exchange visits (VSCGs)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Visit</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Documentation of success stories and best practice (VSCGs)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practice</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of community trainers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600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0.33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 xml:space="preserve">Training of farmers on </w:t>
            </w:r>
            <w:r w:rsidR="00935474">
              <w:rPr>
                <w:sz w:val="16"/>
                <w:szCs w:val="16"/>
              </w:rPr>
              <w:t>farming as a business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1 413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on agric. Machinery operation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99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of BDA</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of agents on SSP</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90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Assessment for selection of full intervention communities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Assessment</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Assessment of VSCG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assessment</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3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2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67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 xml:space="preserve">Exposure visit to SCG experience outside Sudan (ABSUMI &amp; </w:t>
            </w:r>
            <w:proofErr w:type="spellStart"/>
            <w:r w:rsidRPr="00931850">
              <w:rPr>
                <w:sz w:val="16"/>
                <w:szCs w:val="16"/>
              </w:rPr>
              <w:t>Bara'ah</w:t>
            </w:r>
            <w:proofErr w:type="spellEnd"/>
            <w:r w:rsidRPr="00931850">
              <w:rPr>
                <w:sz w:val="16"/>
                <w:szCs w:val="16"/>
              </w:rPr>
              <w: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person</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 16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24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xml:space="preserve">150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p>
          <w:p w:rsidR="00931850" w:rsidRPr="00931850" w:rsidRDefault="00931850" w:rsidP="00326788">
            <w:pPr>
              <w:tabs>
                <w:tab w:val="left" w:pos="285"/>
              </w:tabs>
              <w:spacing w:before="40" w:after="40"/>
              <w:jc w:val="left"/>
              <w:rPr>
                <w:b/>
                <w:bCs/>
                <w:sz w:val="16"/>
                <w:szCs w:val="16"/>
              </w:rPr>
            </w:pPr>
            <w:r w:rsidRPr="00931850">
              <w:rPr>
                <w:b/>
                <w:bCs/>
                <w:sz w:val="16"/>
                <w:szCs w:val="16"/>
              </w:rPr>
              <w:t>Component IV: Project Coordination and Management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317"/>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1. Technical Assistance</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Develop KM Strategy</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Update Project M&amp;E System Design</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2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Development of computerized accounting system</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15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67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Technical and thematic studies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Person/month</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9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90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2. Contracted services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Baseline study</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Survey</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RIMS Baseline Survey</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Study</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Mid-term Review</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Mission</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Annual Audit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Annual</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4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67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b/>
                <w:bCs/>
                <w:sz w:val="16"/>
                <w:szCs w:val="16"/>
              </w:rPr>
            </w:pPr>
            <w:r w:rsidRPr="00931850">
              <w:rPr>
                <w:b/>
                <w:bCs/>
                <w:sz w:val="16"/>
                <w:szCs w:val="16"/>
              </w:rPr>
              <w:t>3. Training</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 </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for PCU &amp; FP staff (External)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15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11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73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Training for PCU staff (Internal)</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Person</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100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Annual Project Assessment</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 annum</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5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83 </w:t>
            </w:r>
          </w:p>
        </w:tc>
      </w:tr>
      <w:tr w:rsidR="00931850" w:rsidRPr="00931850" w:rsidTr="001B0CCC">
        <w:trPr>
          <w:trHeight w:val="20"/>
        </w:trPr>
        <w:tc>
          <w:tcPr>
            <w:tcW w:w="4248" w:type="dxa"/>
            <w:noWrap/>
            <w:vAlign w:val="bottom"/>
            <w:hideMark/>
          </w:tcPr>
          <w:p w:rsidR="00931850" w:rsidRPr="00931850" w:rsidRDefault="00931850" w:rsidP="00326788">
            <w:pPr>
              <w:tabs>
                <w:tab w:val="left" w:pos="285"/>
              </w:tabs>
              <w:spacing w:before="40" w:after="40"/>
              <w:jc w:val="left"/>
              <w:rPr>
                <w:sz w:val="16"/>
                <w:szCs w:val="16"/>
              </w:rPr>
            </w:pPr>
            <w:r w:rsidRPr="00931850">
              <w:rPr>
                <w:sz w:val="16"/>
                <w:szCs w:val="16"/>
              </w:rPr>
              <w:tab/>
              <w:t>Conduct Annual Review and Planning Workshops</w:t>
            </w:r>
          </w:p>
        </w:tc>
        <w:tc>
          <w:tcPr>
            <w:tcW w:w="1417" w:type="dxa"/>
            <w:noWrap/>
            <w:vAlign w:val="bottom"/>
            <w:hideMark/>
          </w:tcPr>
          <w:p w:rsidR="00931850" w:rsidRPr="00931850" w:rsidRDefault="00931850" w:rsidP="00A11D68">
            <w:pPr>
              <w:spacing w:before="40" w:after="40"/>
              <w:rPr>
                <w:sz w:val="16"/>
                <w:szCs w:val="16"/>
              </w:rPr>
            </w:pPr>
            <w:r w:rsidRPr="00931850">
              <w:rPr>
                <w:sz w:val="16"/>
                <w:szCs w:val="16"/>
              </w:rPr>
              <w:t>Per annum</w:t>
            </w:r>
          </w:p>
        </w:tc>
        <w:tc>
          <w:tcPr>
            <w:tcW w:w="993"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6 </w:t>
            </w:r>
          </w:p>
        </w:tc>
        <w:tc>
          <w:tcPr>
            <w:tcW w:w="1275"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3 </w:t>
            </w:r>
          </w:p>
        </w:tc>
        <w:tc>
          <w:tcPr>
            <w:tcW w:w="1247" w:type="dxa"/>
            <w:noWrap/>
            <w:vAlign w:val="bottom"/>
            <w:hideMark/>
          </w:tcPr>
          <w:p w:rsidR="00931850" w:rsidRPr="00931850" w:rsidRDefault="00931850" w:rsidP="00A11D68">
            <w:pPr>
              <w:spacing w:before="40" w:after="40"/>
              <w:ind w:right="459"/>
              <w:rPr>
                <w:sz w:val="16"/>
                <w:szCs w:val="16"/>
              </w:rPr>
            </w:pPr>
            <w:r w:rsidRPr="00931850">
              <w:rPr>
                <w:sz w:val="16"/>
                <w:szCs w:val="16"/>
              </w:rPr>
              <w:t xml:space="preserve">50 </w:t>
            </w:r>
          </w:p>
        </w:tc>
      </w:tr>
    </w:tbl>
    <w:p w:rsidR="00931850" w:rsidRDefault="00931850" w:rsidP="00803426">
      <w:pPr>
        <w:jc w:val="both"/>
        <w:rPr>
          <w:sz w:val="16"/>
          <w:szCs w:val="16"/>
          <w:lang w:val="en-AU"/>
        </w:rPr>
      </w:pPr>
      <w:r w:rsidRPr="00931850">
        <w:rPr>
          <w:sz w:val="16"/>
          <w:szCs w:val="16"/>
          <w:lang w:val="en-AU"/>
        </w:rPr>
        <w:t>Source. PCR, physical progress table, appendix 8</w:t>
      </w:r>
      <w:r w:rsidR="00803426">
        <w:rPr>
          <w:sz w:val="16"/>
          <w:szCs w:val="16"/>
          <w:lang w:val="en-AU"/>
        </w:rPr>
        <w:t>.</w:t>
      </w:r>
    </w:p>
    <w:p w:rsidR="00803426" w:rsidRDefault="00803426" w:rsidP="00803426">
      <w:pPr>
        <w:jc w:val="both"/>
        <w:rPr>
          <w:b/>
          <w:kern w:val="28"/>
          <w:sz w:val="16"/>
          <w:szCs w:val="16"/>
          <w:lang w:val="en-AU"/>
        </w:rPr>
        <w:sectPr w:rsidR="00803426" w:rsidSect="002771F5">
          <w:headerReference w:type="default" r:id="rId18"/>
          <w:footerReference w:type="default" r:id="rId19"/>
          <w:pgSz w:w="11909" w:h="16834"/>
          <w:pgMar w:top="1440" w:right="1440" w:bottom="1440" w:left="1440" w:header="720" w:footer="720" w:gutter="0"/>
          <w:cols w:space="720"/>
        </w:sectPr>
      </w:pPr>
    </w:p>
    <w:p w:rsidR="00DB77E4" w:rsidRDefault="00990C54" w:rsidP="00A11D68">
      <w:pPr>
        <w:pStyle w:val="Annex"/>
        <w:jc w:val="both"/>
        <w:rPr>
          <w:lang w:val="en-AU"/>
        </w:rPr>
      </w:pPr>
      <w:r>
        <w:rPr>
          <w:lang w:val="en-AU"/>
        </w:rPr>
        <w:t xml:space="preserve">Abbreviations and </w:t>
      </w:r>
      <w:r w:rsidR="00DB77E4">
        <w:rPr>
          <w:lang w:val="en-AU"/>
        </w:rPr>
        <w:t>Acronyms</w:t>
      </w:r>
    </w:p>
    <w:p w:rsidR="002F1DA2" w:rsidRDefault="002F1DA2" w:rsidP="002F1DA2">
      <w:pPr>
        <w:spacing w:after="60"/>
      </w:pPr>
      <w:r w:rsidRPr="002F1DA2">
        <w:t xml:space="preserve">ABSUMI </w:t>
      </w:r>
      <w:r>
        <w:tab/>
      </w:r>
      <w:r w:rsidRPr="002F1DA2">
        <w:t xml:space="preserve">Agricultural Bank of Sudan Microfinance Initiative </w:t>
      </w:r>
    </w:p>
    <w:p w:rsidR="00DB77E4" w:rsidRDefault="00DB77E4" w:rsidP="002C73A9">
      <w:pPr>
        <w:spacing w:after="60"/>
      </w:pPr>
      <w:r w:rsidRPr="00990C54">
        <w:t>ARC</w:t>
      </w:r>
      <w:r w:rsidRPr="00990C54">
        <w:tab/>
      </w:r>
      <w:r w:rsidRPr="00990C54">
        <w:tab/>
        <w:t xml:space="preserve">Agriculture research </w:t>
      </w:r>
      <w:r w:rsidR="002C73A9">
        <w:t>centre</w:t>
      </w:r>
      <w:r w:rsidRPr="00990C54">
        <w:t xml:space="preserve"> </w:t>
      </w:r>
    </w:p>
    <w:p w:rsidR="003F0D54" w:rsidRPr="00990C54" w:rsidRDefault="003F0D54" w:rsidP="003F0D54">
      <w:pPr>
        <w:spacing w:after="60"/>
      </w:pPr>
      <w:r w:rsidRPr="003F0D54">
        <w:t xml:space="preserve">ASSCO </w:t>
      </w:r>
      <w:r>
        <w:tab/>
        <w:t>Arab Sudanese Seeds Company</w:t>
      </w:r>
      <w:r w:rsidRPr="003F0D54">
        <w:t xml:space="preserve"> </w:t>
      </w:r>
    </w:p>
    <w:p w:rsidR="00F41688" w:rsidRPr="00990C54" w:rsidRDefault="00F41688" w:rsidP="00990C54">
      <w:pPr>
        <w:spacing w:after="60"/>
      </w:pPr>
      <w:r w:rsidRPr="00990C54">
        <w:t>CDC</w:t>
      </w:r>
      <w:r w:rsidRPr="00990C54">
        <w:tab/>
      </w:r>
      <w:r w:rsidRPr="00990C54">
        <w:tab/>
        <w:t>Community development committee</w:t>
      </w:r>
    </w:p>
    <w:p w:rsidR="00F41688" w:rsidRPr="00990C54" w:rsidRDefault="00F41688" w:rsidP="00990C54">
      <w:pPr>
        <w:spacing w:after="60"/>
      </w:pPr>
      <w:r w:rsidRPr="00990C54">
        <w:t>CSPE</w:t>
      </w:r>
      <w:r w:rsidRPr="00990C54">
        <w:tab/>
      </w:r>
      <w:r w:rsidRPr="00990C54">
        <w:tab/>
        <w:t>Country strategy and programme evaluation</w:t>
      </w:r>
    </w:p>
    <w:p w:rsidR="007A78DF" w:rsidRPr="00990C54" w:rsidRDefault="007A78DF" w:rsidP="00990C54">
      <w:pPr>
        <w:spacing w:after="60"/>
      </w:pPr>
      <w:r w:rsidRPr="00990C54">
        <w:t>FSA</w:t>
      </w:r>
      <w:r w:rsidR="000A13F5" w:rsidRPr="00990C54">
        <w:tab/>
      </w:r>
      <w:r w:rsidR="000A13F5" w:rsidRPr="00990C54">
        <w:tab/>
        <w:t>Federal seed administration</w:t>
      </w:r>
    </w:p>
    <w:p w:rsidR="00DB77E4" w:rsidRDefault="00DB77E4" w:rsidP="00990C54">
      <w:pPr>
        <w:spacing w:after="60"/>
      </w:pPr>
      <w:r w:rsidRPr="00990C54">
        <w:t>GPG</w:t>
      </w:r>
      <w:r w:rsidRPr="00990C54">
        <w:tab/>
      </w:r>
      <w:r w:rsidRPr="00990C54">
        <w:tab/>
        <w:t>G</w:t>
      </w:r>
      <w:r w:rsidR="00F41688" w:rsidRPr="00990C54">
        <w:t>rain producers group</w:t>
      </w:r>
      <w:r w:rsidRPr="00990C54">
        <w:t xml:space="preserve"> </w:t>
      </w:r>
    </w:p>
    <w:p w:rsidR="00326788" w:rsidRDefault="00326788" w:rsidP="003049DB">
      <w:pPr>
        <w:spacing w:after="60"/>
      </w:pPr>
      <w:r>
        <w:t>IAMDP</w:t>
      </w:r>
      <w:r>
        <w:tab/>
      </w:r>
      <w:r w:rsidRPr="00326788">
        <w:t>Integrated Agriculture and Marketing Development Project</w:t>
      </w:r>
    </w:p>
    <w:p w:rsidR="003049DB" w:rsidRDefault="003049DB" w:rsidP="003049DB">
      <w:pPr>
        <w:spacing w:after="60"/>
      </w:pPr>
      <w:r w:rsidRPr="003049DB">
        <w:t xml:space="preserve">ISTA </w:t>
      </w:r>
      <w:r>
        <w:tab/>
      </w:r>
      <w:r>
        <w:tab/>
      </w:r>
      <w:r w:rsidRPr="003049DB">
        <w:t>Internat</w:t>
      </w:r>
      <w:r>
        <w:t xml:space="preserve">ional Seed Testing Association </w:t>
      </w:r>
    </w:p>
    <w:p w:rsidR="00FD70FF" w:rsidRPr="00990C54" w:rsidRDefault="00FD70FF" w:rsidP="00990C54">
      <w:pPr>
        <w:spacing w:after="60"/>
      </w:pPr>
      <w:r>
        <w:t>M&amp;E</w:t>
      </w:r>
      <w:r>
        <w:tab/>
      </w:r>
      <w:r>
        <w:tab/>
        <w:t>Monitoring and Evaluation</w:t>
      </w:r>
    </w:p>
    <w:p w:rsidR="00DB77E4" w:rsidRPr="00990C54" w:rsidRDefault="00DB77E4" w:rsidP="00990C54">
      <w:pPr>
        <w:spacing w:after="60"/>
      </w:pPr>
      <w:r w:rsidRPr="00990C54">
        <w:t>MTR</w:t>
      </w:r>
      <w:r w:rsidRPr="00990C54">
        <w:tab/>
      </w:r>
      <w:r w:rsidRPr="00990C54">
        <w:tab/>
        <w:t>Mid</w:t>
      </w:r>
      <w:r w:rsidR="00F41688" w:rsidRPr="00990C54">
        <w:t>-</w:t>
      </w:r>
      <w:r w:rsidRPr="00990C54">
        <w:t>term review</w:t>
      </w:r>
    </w:p>
    <w:p w:rsidR="00990C54" w:rsidRPr="00990C54" w:rsidRDefault="00990C54" w:rsidP="00990C54">
      <w:pPr>
        <w:spacing w:after="60"/>
      </w:pPr>
      <w:r w:rsidRPr="00990C54">
        <w:t>PCR</w:t>
      </w:r>
      <w:r w:rsidR="00765F7C">
        <w:tab/>
      </w:r>
      <w:r w:rsidR="00765F7C">
        <w:tab/>
        <w:t>Project Completion Report</w:t>
      </w:r>
    </w:p>
    <w:p w:rsidR="00990C54" w:rsidRPr="00990C54" w:rsidRDefault="00990C54" w:rsidP="00990C54">
      <w:pPr>
        <w:spacing w:after="60"/>
      </w:pPr>
      <w:r w:rsidRPr="00990C54">
        <w:t>PCRV</w:t>
      </w:r>
      <w:r w:rsidR="00765F7C">
        <w:tab/>
      </w:r>
      <w:r w:rsidR="00765F7C">
        <w:tab/>
        <w:t>Project Completion Report Validation</w:t>
      </w:r>
    </w:p>
    <w:p w:rsidR="00F41688" w:rsidRPr="00990C54" w:rsidRDefault="00F41688" w:rsidP="00990C54">
      <w:pPr>
        <w:spacing w:after="60"/>
      </w:pPr>
      <w:r w:rsidRPr="00990C54">
        <w:t>PCU</w:t>
      </w:r>
      <w:r w:rsidRPr="00990C54">
        <w:tab/>
      </w:r>
      <w:r w:rsidRPr="00990C54">
        <w:tab/>
        <w:t>Project coordination unit</w:t>
      </w:r>
    </w:p>
    <w:p w:rsidR="00F41688" w:rsidRPr="00990C54" w:rsidRDefault="00DB77E4" w:rsidP="00990C54">
      <w:pPr>
        <w:spacing w:after="60"/>
      </w:pPr>
      <w:r w:rsidRPr="00990C54">
        <w:t>PSC</w:t>
      </w:r>
      <w:r w:rsidRPr="00990C54">
        <w:tab/>
      </w:r>
      <w:r w:rsidRPr="00990C54">
        <w:tab/>
        <w:t xml:space="preserve">Private </w:t>
      </w:r>
      <w:r w:rsidR="00765F7C" w:rsidRPr="00990C54">
        <w:t>Seed Company</w:t>
      </w:r>
      <w:r w:rsidRPr="00990C54">
        <w:t xml:space="preserve"> </w:t>
      </w:r>
    </w:p>
    <w:p w:rsidR="00F41688" w:rsidRPr="00990C54" w:rsidRDefault="00F41688" w:rsidP="00990C54">
      <w:pPr>
        <w:spacing w:after="60"/>
      </w:pPr>
      <w:r w:rsidRPr="00990C54">
        <w:t>SDP</w:t>
      </w:r>
      <w:r w:rsidRPr="00990C54">
        <w:tab/>
      </w:r>
      <w:r w:rsidRPr="00990C54">
        <w:tab/>
        <w:t>Seed Development Project</w:t>
      </w:r>
    </w:p>
    <w:p w:rsidR="00DB77E4" w:rsidRPr="00990C54" w:rsidRDefault="00DB77E4" w:rsidP="00990C54">
      <w:pPr>
        <w:spacing w:after="60"/>
      </w:pPr>
      <w:r w:rsidRPr="00990C54">
        <w:t>SGG</w:t>
      </w:r>
      <w:r w:rsidRPr="00990C54">
        <w:tab/>
      </w:r>
      <w:r w:rsidRPr="00990C54">
        <w:tab/>
        <w:t>S</w:t>
      </w:r>
      <w:r w:rsidR="00F41688" w:rsidRPr="00990C54">
        <w:t>eed grower group</w:t>
      </w:r>
      <w:r w:rsidRPr="00990C54">
        <w:t xml:space="preserve">  </w:t>
      </w:r>
      <w:bookmarkEnd w:id="18"/>
      <w:bookmarkEnd w:id="19"/>
      <w:bookmarkEnd w:id="20"/>
      <w:bookmarkEnd w:id="21"/>
    </w:p>
    <w:p w:rsidR="00F41688" w:rsidRPr="00990C54" w:rsidRDefault="00F41688" w:rsidP="00990C54">
      <w:pPr>
        <w:spacing w:after="60"/>
      </w:pPr>
      <w:r w:rsidRPr="00990C54">
        <w:t>WSRMP</w:t>
      </w:r>
      <w:r w:rsidRPr="00990C54">
        <w:tab/>
        <w:t>Western Sudan Resources Management Programme</w:t>
      </w:r>
    </w:p>
    <w:p w:rsidR="00796C36" w:rsidRPr="00990C54" w:rsidRDefault="00796C36" w:rsidP="00990C54">
      <w:pPr>
        <w:spacing w:after="60"/>
      </w:pPr>
    </w:p>
    <w:p w:rsidR="00D8618B" w:rsidRDefault="00D8618B" w:rsidP="00A11D68">
      <w:pPr>
        <w:jc w:val="both"/>
      </w:pPr>
    </w:p>
    <w:p w:rsidR="00803426" w:rsidRDefault="00803426">
      <w:pPr>
        <w:sectPr w:rsidR="00803426" w:rsidSect="002771F5">
          <w:headerReference w:type="default" r:id="rId20"/>
          <w:pgSz w:w="11909" w:h="16834"/>
          <w:pgMar w:top="1440" w:right="1440" w:bottom="1440" w:left="1440" w:header="720" w:footer="720" w:gutter="0"/>
          <w:cols w:space="720"/>
        </w:sectPr>
      </w:pPr>
    </w:p>
    <w:p w:rsidR="00141DFB" w:rsidRDefault="00141DFB" w:rsidP="00141DFB">
      <w:pPr>
        <w:pStyle w:val="Annex"/>
        <w:jc w:val="both"/>
        <w:rPr>
          <w:lang w:val="en-AU"/>
        </w:rPr>
      </w:pPr>
      <w:r>
        <w:rPr>
          <w:lang w:val="en-AU"/>
        </w:rPr>
        <w:t>Bibliography</w:t>
      </w:r>
    </w:p>
    <w:p w:rsidR="00141DFB" w:rsidRPr="00483729" w:rsidRDefault="00765F7C" w:rsidP="00EC2F12">
      <w:pPr>
        <w:spacing w:after="240"/>
        <w:ind w:left="567" w:hanging="567"/>
      </w:pPr>
      <w:r>
        <w:t>International Fund for Agricultural Development</w:t>
      </w:r>
      <w:r w:rsidR="00141DFB" w:rsidRPr="00483729">
        <w:t>. 201</w:t>
      </w:r>
      <w:r w:rsidR="00EC2F12">
        <w:t>1</w:t>
      </w:r>
      <w:r w:rsidR="00141DFB" w:rsidRPr="00483729">
        <w:t>. President's report</w:t>
      </w:r>
      <w:r w:rsidR="00533B85">
        <w:t>.</w:t>
      </w:r>
      <w:r w:rsidR="00141DFB" w:rsidRPr="00483729">
        <w:t xml:space="preserve"> </w:t>
      </w:r>
    </w:p>
    <w:p w:rsidR="00EC2F12" w:rsidRDefault="00141DFB" w:rsidP="00EC2F12">
      <w:pPr>
        <w:spacing w:after="240"/>
        <w:ind w:left="567" w:hanging="567"/>
      </w:pPr>
      <w:r w:rsidRPr="00483729">
        <w:t>____. 201</w:t>
      </w:r>
      <w:r w:rsidR="00EC2F12">
        <w:t>2</w:t>
      </w:r>
      <w:r w:rsidRPr="00483729">
        <w:t xml:space="preserve">. </w:t>
      </w:r>
      <w:r w:rsidR="00EC2F12">
        <w:t>Financing</w:t>
      </w:r>
      <w:r w:rsidR="00EC2F12" w:rsidRPr="00483729">
        <w:t xml:space="preserve"> agreement</w:t>
      </w:r>
      <w:r w:rsidR="00533B85">
        <w:t>.</w:t>
      </w:r>
      <w:r w:rsidR="00EC2F12" w:rsidRPr="00483729">
        <w:t xml:space="preserve"> </w:t>
      </w:r>
    </w:p>
    <w:p w:rsidR="00141DFB" w:rsidRPr="00483729" w:rsidRDefault="00EC2F12" w:rsidP="00EC2F12">
      <w:pPr>
        <w:spacing w:after="240"/>
        <w:ind w:left="567" w:hanging="567"/>
      </w:pPr>
      <w:r w:rsidRPr="00483729">
        <w:t>____. 201</w:t>
      </w:r>
      <w:r>
        <w:t>2</w:t>
      </w:r>
      <w:r w:rsidRPr="00483729">
        <w:t xml:space="preserve">. </w:t>
      </w:r>
      <w:r w:rsidR="00141DFB" w:rsidRPr="00483729">
        <w:t>Design report</w:t>
      </w:r>
      <w:r w:rsidR="00533B85">
        <w:t>.</w:t>
      </w:r>
      <w:r w:rsidR="00141DFB" w:rsidRPr="00483729">
        <w:t xml:space="preserve"> </w:t>
      </w:r>
    </w:p>
    <w:p w:rsidR="00141DFB" w:rsidRPr="00483729" w:rsidRDefault="00141DFB" w:rsidP="00EC2F12">
      <w:pPr>
        <w:spacing w:after="240"/>
        <w:ind w:left="567" w:hanging="567"/>
      </w:pPr>
      <w:r w:rsidRPr="00483729">
        <w:t>____. 201</w:t>
      </w:r>
      <w:r w:rsidR="00037815">
        <w:t>3</w:t>
      </w:r>
      <w:r w:rsidRPr="00483729">
        <w:t>-201</w:t>
      </w:r>
      <w:r>
        <w:t>7</w:t>
      </w:r>
      <w:r w:rsidRPr="00483729">
        <w:t>. Supervision reports</w:t>
      </w:r>
      <w:r w:rsidR="00533B85">
        <w:t>.</w:t>
      </w:r>
    </w:p>
    <w:p w:rsidR="00141DFB" w:rsidRDefault="00141DFB" w:rsidP="00141DFB">
      <w:pPr>
        <w:spacing w:after="240"/>
        <w:ind w:left="567" w:hanging="567"/>
      </w:pPr>
      <w:r w:rsidRPr="00483729">
        <w:t>____. 2015. Mid-term review report</w:t>
      </w:r>
      <w:r w:rsidR="00533B85">
        <w:t>.</w:t>
      </w:r>
      <w:r w:rsidRPr="00483729">
        <w:t xml:space="preserve"> </w:t>
      </w:r>
    </w:p>
    <w:p w:rsidR="00141DFB" w:rsidRDefault="00141DFB" w:rsidP="00EC2F12">
      <w:pPr>
        <w:spacing w:after="240"/>
        <w:ind w:left="567" w:hanging="567"/>
      </w:pPr>
      <w:r w:rsidRPr="00483729">
        <w:t>____.</w:t>
      </w:r>
      <w:r>
        <w:t xml:space="preserve"> 201</w:t>
      </w:r>
      <w:r w:rsidR="00EC2F12">
        <w:t>7</w:t>
      </w:r>
      <w:r>
        <w:t>.</w:t>
      </w:r>
      <w:r w:rsidR="00EC2F12">
        <w:t xml:space="preserve"> Amendment to financing agreement</w:t>
      </w:r>
      <w:r w:rsidR="00533B85">
        <w:t>.</w:t>
      </w:r>
      <w:r w:rsidR="00EC2F12">
        <w:t xml:space="preserve"> </w:t>
      </w:r>
      <w:r>
        <w:t xml:space="preserve"> </w:t>
      </w:r>
    </w:p>
    <w:p w:rsidR="001F0F90" w:rsidRPr="00483729" w:rsidRDefault="001F0F90" w:rsidP="00EC2F12">
      <w:pPr>
        <w:spacing w:after="240"/>
        <w:ind w:left="567" w:hanging="567"/>
      </w:pPr>
      <w:r w:rsidRPr="00483729">
        <w:t>____.</w:t>
      </w:r>
      <w:r>
        <w:t xml:space="preserve"> 2017. Annual assessment report</w:t>
      </w:r>
      <w:r w:rsidR="00533B85">
        <w:t>.</w:t>
      </w:r>
    </w:p>
    <w:p w:rsidR="00141DFB" w:rsidRPr="00483729" w:rsidRDefault="00141DFB" w:rsidP="00141DFB">
      <w:pPr>
        <w:spacing w:after="240"/>
        <w:ind w:left="567" w:hanging="567"/>
        <w:jc w:val="both"/>
      </w:pPr>
      <w:r w:rsidRPr="00483729">
        <w:t>____. IOE. 201</w:t>
      </w:r>
      <w:r>
        <w:t>9</w:t>
      </w:r>
      <w:r w:rsidRPr="00483729">
        <w:t>. Country strategy and programme</w:t>
      </w:r>
      <w:r>
        <w:t xml:space="preserve"> evaluation field mission</w:t>
      </w:r>
      <w:r w:rsidR="00533B85">
        <w:t>.</w:t>
      </w:r>
    </w:p>
    <w:p w:rsidR="00141DFB" w:rsidRPr="00141DFB" w:rsidRDefault="00141DFB" w:rsidP="00141DFB"/>
    <w:p w:rsidR="00D8618B" w:rsidRDefault="00D8618B" w:rsidP="00A11D68">
      <w:pPr>
        <w:jc w:val="both"/>
      </w:pPr>
    </w:p>
    <w:sectPr w:rsidR="00D8618B" w:rsidSect="002771F5">
      <w:headerReference w:type="default" r:id="rId21"/>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30" w:rsidRDefault="00722330">
      <w:r>
        <w:separator/>
      </w:r>
    </w:p>
    <w:p w:rsidR="00722330" w:rsidRDefault="00722330"/>
    <w:p w:rsidR="00722330" w:rsidRDefault="00722330"/>
  </w:endnote>
  <w:endnote w:type="continuationSeparator" w:id="0">
    <w:p w:rsidR="00722330" w:rsidRDefault="00722330">
      <w:r>
        <w:continuationSeparator/>
      </w:r>
    </w:p>
    <w:p w:rsidR="00722330" w:rsidRDefault="00722330"/>
    <w:p w:rsidR="00722330" w:rsidRDefault="00722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70103"/>
      <w:docPartObj>
        <w:docPartGallery w:val="Page Numbers (Bottom of Page)"/>
        <w:docPartUnique/>
      </w:docPartObj>
    </w:sdtPr>
    <w:sdtEndPr>
      <w:rPr>
        <w:noProof/>
      </w:rPr>
    </w:sdtEndPr>
    <w:sdtContent>
      <w:p w:rsidR="00E31773" w:rsidRDefault="00E31773">
        <w:pPr>
          <w:pStyle w:val="Footer"/>
          <w:jc w:val="center"/>
        </w:pPr>
        <w:r w:rsidRPr="00BB732A">
          <w:rPr>
            <w:szCs w:val="16"/>
          </w:rPr>
          <w:fldChar w:fldCharType="begin"/>
        </w:r>
        <w:r w:rsidRPr="00BB732A">
          <w:rPr>
            <w:szCs w:val="16"/>
          </w:rPr>
          <w:instrText xml:space="preserve"> PAGE   \* MERGEFORMAT </w:instrText>
        </w:r>
        <w:r w:rsidRPr="00BB732A">
          <w:rPr>
            <w:szCs w:val="16"/>
          </w:rPr>
          <w:fldChar w:fldCharType="separate"/>
        </w:r>
        <w:r w:rsidR="000B6ED6">
          <w:rPr>
            <w:noProof/>
            <w:szCs w:val="16"/>
          </w:rPr>
          <w:t>14</w:t>
        </w:r>
        <w:r w:rsidRPr="00BB732A">
          <w:rPr>
            <w:noProof/>
            <w:szCs w:val="16"/>
          </w:rPr>
          <w:fldChar w:fldCharType="end"/>
        </w:r>
      </w:p>
    </w:sdtContent>
  </w:sdt>
  <w:p w:rsidR="00E31773" w:rsidRPr="00812F5B" w:rsidRDefault="00E31773" w:rsidP="00413D6C">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533159"/>
      <w:docPartObj>
        <w:docPartGallery w:val="Page Numbers (Bottom of Page)"/>
        <w:docPartUnique/>
      </w:docPartObj>
    </w:sdtPr>
    <w:sdtEndPr>
      <w:rPr>
        <w:rFonts w:cstheme="minorBidi"/>
        <w:noProof/>
        <w:szCs w:val="16"/>
      </w:rPr>
    </w:sdtEndPr>
    <w:sdtContent>
      <w:p w:rsidR="00E31773" w:rsidRDefault="00E31773">
        <w:pPr>
          <w:pStyle w:val="Footer"/>
          <w:jc w:val="center"/>
        </w:pPr>
        <w:r w:rsidRPr="00BB732A">
          <w:rPr>
            <w:rFonts w:cstheme="minorBidi"/>
            <w:szCs w:val="16"/>
          </w:rPr>
          <w:fldChar w:fldCharType="begin"/>
        </w:r>
        <w:r w:rsidRPr="00BB732A">
          <w:rPr>
            <w:rFonts w:cstheme="minorBidi"/>
            <w:szCs w:val="16"/>
          </w:rPr>
          <w:instrText xml:space="preserve"> PAGE   \* MERGEFORMAT </w:instrText>
        </w:r>
        <w:r w:rsidRPr="00BB732A">
          <w:rPr>
            <w:rFonts w:cstheme="minorBidi"/>
            <w:szCs w:val="16"/>
          </w:rPr>
          <w:fldChar w:fldCharType="separate"/>
        </w:r>
        <w:r w:rsidR="000B6ED6">
          <w:rPr>
            <w:rFonts w:cstheme="minorBidi"/>
            <w:noProof/>
            <w:szCs w:val="16"/>
          </w:rPr>
          <w:t>16</w:t>
        </w:r>
        <w:r w:rsidRPr="00BB732A">
          <w:rPr>
            <w:rFonts w:cstheme="minorBidi"/>
            <w:noProof/>
            <w:szCs w:val="16"/>
          </w:rPr>
          <w:fldChar w:fldCharType="end"/>
        </w:r>
      </w:p>
    </w:sdtContent>
  </w:sdt>
  <w:p w:rsidR="00E31773" w:rsidRPr="00812F5B" w:rsidRDefault="00E31773" w:rsidP="00413D6C">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410259"/>
      <w:docPartObj>
        <w:docPartGallery w:val="Page Numbers (Bottom of Page)"/>
        <w:docPartUnique/>
      </w:docPartObj>
    </w:sdtPr>
    <w:sdtEndPr>
      <w:rPr>
        <w:noProof/>
      </w:rPr>
    </w:sdtEndPr>
    <w:sdtContent>
      <w:p w:rsidR="00E31773" w:rsidRDefault="00E31773">
        <w:pPr>
          <w:pStyle w:val="Footer"/>
          <w:jc w:val="center"/>
        </w:pPr>
        <w:r w:rsidRPr="00BB732A">
          <w:rPr>
            <w:szCs w:val="16"/>
          </w:rPr>
          <w:fldChar w:fldCharType="begin"/>
        </w:r>
        <w:r w:rsidRPr="00BB732A">
          <w:rPr>
            <w:szCs w:val="16"/>
          </w:rPr>
          <w:instrText xml:space="preserve"> PAGE   \* MERGEFORMAT </w:instrText>
        </w:r>
        <w:r w:rsidRPr="00BB732A">
          <w:rPr>
            <w:szCs w:val="16"/>
          </w:rPr>
          <w:fldChar w:fldCharType="separate"/>
        </w:r>
        <w:r w:rsidR="00765F7C">
          <w:rPr>
            <w:noProof/>
            <w:szCs w:val="16"/>
          </w:rPr>
          <w:t>17</w:t>
        </w:r>
        <w:r w:rsidRPr="00BB732A">
          <w:rPr>
            <w:noProof/>
            <w:szCs w:val="16"/>
          </w:rPr>
          <w:fldChar w:fldCharType="end"/>
        </w:r>
      </w:p>
    </w:sdtContent>
  </w:sdt>
  <w:p w:rsidR="00E31773" w:rsidRPr="00812F5B" w:rsidRDefault="00E31773" w:rsidP="00413D6C">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070101"/>
      <w:docPartObj>
        <w:docPartGallery w:val="Page Numbers (Bottom of Page)"/>
        <w:docPartUnique/>
      </w:docPartObj>
    </w:sdtPr>
    <w:sdtEndPr>
      <w:rPr>
        <w:noProof/>
      </w:rPr>
    </w:sdtEndPr>
    <w:sdtContent>
      <w:p w:rsidR="00E31773" w:rsidRDefault="00E31773" w:rsidP="00C97B50">
        <w:pPr>
          <w:pStyle w:val="Footer"/>
          <w:jc w:val="center"/>
        </w:pPr>
        <w:r w:rsidRPr="00BB732A">
          <w:rPr>
            <w:szCs w:val="16"/>
          </w:rPr>
          <w:fldChar w:fldCharType="begin"/>
        </w:r>
        <w:r w:rsidRPr="00BB732A">
          <w:rPr>
            <w:szCs w:val="16"/>
          </w:rPr>
          <w:instrText xml:space="preserve"> PAGE   \* MERGEFORMAT </w:instrText>
        </w:r>
        <w:r w:rsidRPr="00BB732A">
          <w:rPr>
            <w:szCs w:val="16"/>
          </w:rPr>
          <w:fldChar w:fldCharType="separate"/>
        </w:r>
        <w:r w:rsidR="000B6ED6">
          <w:rPr>
            <w:noProof/>
            <w:szCs w:val="16"/>
          </w:rPr>
          <w:t>20</w:t>
        </w:r>
        <w:r w:rsidRPr="00BB732A">
          <w:rPr>
            <w:noProof/>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30" w:rsidRDefault="00722330" w:rsidP="00182251">
      <w:pPr>
        <w:ind w:left="567"/>
      </w:pPr>
      <w:r>
        <w:separator/>
      </w:r>
    </w:p>
  </w:footnote>
  <w:footnote w:type="continuationSeparator" w:id="0">
    <w:p w:rsidR="00722330" w:rsidRDefault="00722330">
      <w:r>
        <w:continuationSeparator/>
      </w:r>
    </w:p>
    <w:p w:rsidR="00722330" w:rsidRDefault="00722330"/>
    <w:p w:rsidR="00722330" w:rsidRDefault="00722330"/>
  </w:footnote>
  <w:footnote w:id="1">
    <w:p w:rsidR="00E31773" w:rsidRPr="009F228F" w:rsidRDefault="00E31773">
      <w:pPr>
        <w:pStyle w:val="FootnoteText"/>
        <w:rPr>
          <w:lang w:eastAsia="ja-JP"/>
        </w:rPr>
      </w:pPr>
      <w:r>
        <w:rPr>
          <w:rStyle w:val="FootnoteReference"/>
        </w:rPr>
        <w:footnoteRef/>
      </w:r>
      <w:r>
        <w:t xml:space="preserve"> </w:t>
      </w:r>
      <w:r>
        <w:rPr>
          <w:lang w:eastAsia="ja-JP"/>
        </w:rPr>
        <w:t xml:space="preserve">Where different figures are available in different sources (i.e. PCR, IFAD database), higher amount used with the assumption that these are more updated figures. See also table 1. </w:t>
      </w:r>
    </w:p>
  </w:footnote>
  <w:footnote w:id="2">
    <w:p w:rsidR="00E31773" w:rsidRPr="00D15E80" w:rsidRDefault="00E31773" w:rsidP="00A46816">
      <w:pPr>
        <w:pStyle w:val="FootnoteText"/>
        <w:tabs>
          <w:tab w:val="clear" w:pos="737"/>
          <w:tab w:val="left" w:pos="567"/>
        </w:tabs>
        <w:rPr>
          <w:lang w:val="en-GB"/>
        </w:rPr>
      </w:pPr>
      <w:r>
        <w:rPr>
          <w:rStyle w:val="FootnoteReference"/>
        </w:rPr>
        <w:footnoteRef/>
      </w:r>
      <w:r>
        <w:t xml:space="preserve"> </w:t>
      </w:r>
      <w:r>
        <w:rPr>
          <w:lang w:val="en-GB"/>
        </w:rPr>
        <w:t xml:space="preserve">Um </w:t>
      </w:r>
      <w:proofErr w:type="spellStart"/>
      <w:r>
        <w:rPr>
          <w:lang w:val="en-GB"/>
        </w:rPr>
        <w:t>Rawaba</w:t>
      </w:r>
      <w:proofErr w:type="spellEnd"/>
      <w:r>
        <w:rPr>
          <w:lang w:val="en-GB"/>
        </w:rPr>
        <w:t xml:space="preserve"> and Rashad </w:t>
      </w:r>
      <w:proofErr w:type="gramStart"/>
      <w:r>
        <w:rPr>
          <w:lang w:val="en-GB"/>
        </w:rPr>
        <w:t>were added</w:t>
      </w:r>
      <w:proofErr w:type="gramEnd"/>
      <w:r>
        <w:rPr>
          <w:lang w:val="en-GB"/>
        </w:rPr>
        <w:t xml:space="preserve"> following the MTR in 2014.</w:t>
      </w:r>
    </w:p>
  </w:footnote>
  <w:footnote w:id="3">
    <w:p w:rsidR="00E31773" w:rsidRPr="000D468F" w:rsidRDefault="00E31773" w:rsidP="00A46816">
      <w:pPr>
        <w:pStyle w:val="FootnoteText"/>
        <w:tabs>
          <w:tab w:val="clear" w:pos="737"/>
          <w:tab w:val="left" w:pos="567"/>
        </w:tabs>
        <w:rPr>
          <w:lang w:val="en-GB"/>
        </w:rPr>
      </w:pPr>
      <w:r>
        <w:rPr>
          <w:rStyle w:val="FootnoteReference"/>
        </w:rPr>
        <w:footnoteRef/>
      </w:r>
      <w:r>
        <w:t xml:space="preserve"> The mid-term review (MTR) pointed out that for some crops (e.g. groundnuts, sesame)</w:t>
      </w:r>
      <w:proofErr w:type="gramStart"/>
      <w:r>
        <w:t>,</w:t>
      </w:r>
      <w:proofErr w:type="gramEnd"/>
      <w:r>
        <w:t xml:space="preserve"> seed growers would save seeds with less need for registered seeds and still maintain good quality</w:t>
      </w:r>
      <w:r w:rsidRPr="00C24EDB">
        <w:t xml:space="preserve">. </w:t>
      </w:r>
      <w:r>
        <w:t xml:space="preserve">Accordingly, the adjusted project objective statement (including “improved seeds”) </w:t>
      </w:r>
      <w:proofErr w:type="gramStart"/>
      <w:r>
        <w:t>is used</w:t>
      </w:r>
      <w:proofErr w:type="gramEnd"/>
      <w:r>
        <w:t xml:space="preserve"> in the project documents after the MTR. </w:t>
      </w:r>
    </w:p>
  </w:footnote>
  <w:footnote w:id="4">
    <w:p w:rsidR="00E31773" w:rsidRPr="00D10905" w:rsidRDefault="00E31773" w:rsidP="00A46816">
      <w:pPr>
        <w:pStyle w:val="FootnoteText"/>
        <w:tabs>
          <w:tab w:val="clear" w:pos="737"/>
          <w:tab w:val="left" w:pos="567"/>
        </w:tabs>
      </w:pPr>
      <w:r>
        <w:rPr>
          <w:rStyle w:val="FootnoteReference"/>
        </w:rPr>
        <w:footnoteRef/>
      </w:r>
      <w:r>
        <w:t xml:space="preserve"> SDP design report.</w:t>
      </w:r>
    </w:p>
  </w:footnote>
  <w:footnote w:id="5">
    <w:p w:rsidR="00E31773" w:rsidRPr="00AE7AB6" w:rsidRDefault="00E31773" w:rsidP="00A46816">
      <w:pPr>
        <w:pStyle w:val="FootnoteText"/>
        <w:tabs>
          <w:tab w:val="clear" w:pos="737"/>
          <w:tab w:val="left" w:pos="567"/>
        </w:tabs>
        <w:rPr>
          <w:lang w:val="en-GB"/>
        </w:rPr>
      </w:pPr>
      <w:r>
        <w:rPr>
          <w:rStyle w:val="FootnoteReference"/>
        </w:rPr>
        <w:footnoteRef/>
      </w:r>
      <w:r>
        <w:t xml:space="preserve"> </w:t>
      </w:r>
      <w:r>
        <w:rPr>
          <w:lang w:val="en-GB"/>
        </w:rPr>
        <w:t>Sesame, groundnuts, sorghum and millet.</w:t>
      </w:r>
    </w:p>
  </w:footnote>
  <w:footnote w:id="6">
    <w:p w:rsidR="00E31773" w:rsidRPr="00FB2AB7" w:rsidRDefault="00E31773" w:rsidP="00FB2AB7">
      <w:pPr>
        <w:pStyle w:val="FootnoteText"/>
        <w:rPr>
          <w:lang w:eastAsia="ja-JP"/>
        </w:rPr>
      </w:pPr>
      <w:r>
        <w:rPr>
          <w:rStyle w:val="FootnoteReference"/>
        </w:rPr>
        <w:footnoteRef/>
      </w:r>
      <w:r>
        <w:t xml:space="preserve"> The Government paid for operating costs for the activities implemented by FSA and ARC but did not provide the information (PCR paragraph 84). </w:t>
      </w:r>
    </w:p>
  </w:footnote>
  <w:footnote w:id="7">
    <w:p w:rsidR="00E31773" w:rsidRPr="008E5991" w:rsidRDefault="00E31773">
      <w:pPr>
        <w:pStyle w:val="FootnoteText"/>
        <w:rPr>
          <w:lang w:val="en-GB"/>
        </w:rPr>
      </w:pPr>
      <w:r>
        <w:rPr>
          <w:rStyle w:val="FootnoteReference"/>
        </w:rPr>
        <w:footnoteRef/>
      </w:r>
      <w:r>
        <w:t xml:space="preserve"> President’s report and </w:t>
      </w:r>
      <w:r>
        <w:rPr>
          <w:lang w:val="en-GB"/>
        </w:rPr>
        <w:t xml:space="preserve">SDP PCR.  </w:t>
      </w:r>
    </w:p>
  </w:footnote>
  <w:footnote w:id="8">
    <w:p w:rsidR="00E31773" w:rsidRPr="009711B8" w:rsidRDefault="00E31773">
      <w:pPr>
        <w:pStyle w:val="FootnoteText"/>
      </w:pPr>
      <w:r>
        <w:rPr>
          <w:rStyle w:val="FootnoteReference"/>
        </w:rPr>
        <w:footnoteRef/>
      </w:r>
      <w:r>
        <w:t xml:space="preserve"> Implemented between 2001 and 2012. </w:t>
      </w:r>
    </w:p>
  </w:footnote>
  <w:footnote w:id="9">
    <w:p w:rsidR="00E31773" w:rsidRPr="00800D5E" w:rsidRDefault="00E31773" w:rsidP="00800D5E">
      <w:pPr>
        <w:pStyle w:val="FootnoteText"/>
      </w:pPr>
      <w:r>
        <w:rPr>
          <w:rStyle w:val="FootnoteReference"/>
        </w:rPr>
        <w:footnoteRef/>
      </w:r>
      <w:r>
        <w:t xml:space="preserve"> According to the PCR, this was because: (</w:t>
      </w:r>
      <w:proofErr w:type="spellStart"/>
      <w:r>
        <w:t>i</w:t>
      </w:r>
      <w:proofErr w:type="spellEnd"/>
      <w:r>
        <w:t xml:space="preserve">) it was challenging to work with a large number of smallholder farmers unaware of the importance of improved seeds; and (ii) ASSCO was restricted to use ARC-registered seeds while it had own registered seeds. Furthermore, the PSC saw SDP guaranteeing the purchase of seeds from the producers as a disincentive for the establishment of a sustainable private sector-led seeds industry (SDP PCR).  </w:t>
      </w:r>
    </w:p>
  </w:footnote>
  <w:footnote w:id="10">
    <w:p w:rsidR="00E31773" w:rsidRDefault="00E31773" w:rsidP="0032385A">
      <w:pPr>
        <w:pStyle w:val="FootnoteText"/>
        <w:rPr>
          <w:lang w:eastAsia="ja-JP"/>
        </w:rPr>
      </w:pPr>
      <w:r>
        <w:rPr>
          <w:rStyle w:val="FootnoteReference"/>
        </w:rPr>
        <w:footnoteRef/>
      </w:r>
      <w:r>
        <w:t xml:space="preserve"> </w:t>
      </w:r>
      <w:r>
        <w:rPr>
          <w:rFonts w:hint="eastAsia"/>
          <w:lang w:eastAsia="ja-JP"/>
        </w:rPr>
        <w:t xml:space="preserve">Seed </w:t>
      </w:r>
      <w:r>
        <w:rPr>
          <w:lang w:eastAsia="ja-JP"/>
        </w:rPr>
        <w:t xml:space="preserve">classes, in order from the highest class, </w:t>
      </w:r>
      <w:proofErr w:type="gramStart"/>
      <w:r>
        <w:rPr>
          <w:lang w:eastAsia="ja-JP"/>
        </w:rPr>
        <w:t>are:</w:t>
      </w:r>
      <w:proofErr w:type="gramEnd"/>
      <w:r>
        <w:rPr>
          <w:lang w:eastAsia="ja-JP"/>
        </w:rPr>
        <w:t xml:space="preserve"> breeder seed; foundation seed; registered seed; certified seed; and improved/good quality seed (community-based seed production) (SDP design report). </w:t>
      </w:r>
    </w:p>
  </w:footnote>
  <w:footnote w:id="11">
    <w:p w:rsidR="00E31773" w:rsidRPr="00C91F21" w:rsidRDefault="00E31773">
      <w:pPr>
        <w:pStyle w:val="FootnoteText"/>
      </w:pPr>
      <w:r>
        <w:rPr>
          <w:rStyle w:val="FootnoteReference"/>
        </w:rPr>
        <w:footnoteRef/>
      </w:r>
      <w:r>
        <w:t xml:space="preserve"> SDP PCR. </w:t>
      </w:r>
    </w:p>
  </w:footnote>
  <w:footnote w:id="12">
    <w:p w:rsidR="00E31773" w:rsidRPr="00B0727E" w:rsidRDefault="00E31773" w:rsidP="00793B31">
      <w:pPr>
        <w:pStyle w:val="FootnoteText"/>
      </w:pPr>
      <w:r>
        <w:rPr>
          <w:rStyle w:val="FootnoteReference"/>
        </w:rPr>
        <w:footnoteRef/>
      </w:r>
      <w:r>
        <w:t xml:space="preserve"> The renovation of the seed pool for sesame and groundnut is necessary only every two years because of their self-pollination capacity, which makes it less interesting for PSC.</w:t>
      </w:r>
      <w:r w:rsidRPr="00CC1B2B">
        <w:t xml:space="preserve"> </w:t>
      </w:r>
      <w:r>
        <w:t>F</w:t>
      </w:r>
      <w:r w:rsidRPr="00CC1B2B">
        <w:t>armers may retain harvested grain to use as seed for many seasons without noticeable loss in desired characteristics. On-going demand for groundnut, sesame, and cowpea seed is therefore limited and unpredictable</w:t>
      </w:r>
      <w:r>
        <w:t xml:space="preserve">. </w:t>
      </w:r>
    </w:p>
  </w:footnote>
  <w:footnote w:id="13">
    <w:p w:rsidR="00E31773" w:rsidRPr="003275F3" w:rsidRDefault="00E31773">
      <w:pPr>
        <w:pStyle w:val="FootnoteText"/>
        <w:rPr>
          <w:lang w:eastAsia="ja-JP"/>
        </w:rPr>
      </w:pPr>
      <w:r>
        <w:rPr>
          <w:rStyle w:val="FootnoteReference"/>
        </w:rPr>
        <w:footnoteRef/>
      </w:r>
      <w:r>
        <w:t xml:space="preserve"> </w:t>
      </w:r>
      <w:r>
        <w:rPr>
          <w:lang w:eastAsia="ja-JP"/>
        </w:rPr>
        <w:t xml:space="preserve">SDP design report. </w:t>
      </w:r>
    </w:p>
  </w:footnote>
  <w:footnote w:id="14">
    <w:p w:rsidR="00E31773" w:rsidRPr="00793B31" w:rsidRDefault="00E31773">
      <w:pPr>
        <w:pStyle w:val="FootnoteText"/>
        <w:rPr>
          <w:lang w:eastAsia="ja-JP"/>
        </w:rPr>
      </w:pPr>
      <w:r>
        <w:rPr>
          <w:rStyle w:val="FootnoteReference"/>
        </w:rPr>
        <w:footnoteRef/>
      </w:r>
      <w:r>
        <w:t xml:space="preserve"> </w:t>
      </w:r>
      <w:r>
        <w:rPr>
          <w:lang w:eastAsia="ja-JP"/>
        </w:rPr>
        <w:t xml:space="preserve">The PCR reported 136 communities, but according to the previous project staff, this should have been 166. </w:t>
      </w:r>
      <w:r>
        <w:rPr>
          <w:rFonts w:asciiTheme="minorBidi" w:hAnsiTheme="minorBidi" w:cstheme="minorBidi"/>
          <w:szCs w:val="16"/>
          <w:lang w:val="en-US"/>
        </w:rPr>
        <w:t xml:space="preserve">Out of 166 communities, 65 </w:t>
      </w:r>
      <w:proofErr w:type="gramStart"/>
      <w:r>
        <w:rPr>
          <w:rFonts w:asciiTheme="minorBidi" w:hAnsiTheme="minorBidi" w:cstheme="minorBidi"/>
          <w:szCs w:val="16"/>
          <w:lang w:val="en-US"/>
        </w:rPr>
        <w:t>were classified</w:t>
      </w:r>
      <w:proofErr w:type="gramEnd"/>
      <w:r>
        <w:rPr>
          <w:rFonts w:asciiTheme="minorBidi" w:hAnsiTheme="minorBidi" w:cstheme="minorBidi"/>
          <w:szCs w:val="16"/>
          <w:lang w:val="en-US"/>
        </w:rPr>
        <w:t xml:space="preserve"> as exposure communities, 52 full intervention/consolidation, 49 graduated.</w:t>
      </w:r>
    </w:p>
  </w:footnote>
  <w:footnote w:id="15">
    <w:p w:rsidR="00E31773" w:rsidRPr="002724FA" w:rsidRDefault="00E31773" w:rsidP="002724FA">
      <w:pPr>
        <w:pStyle w:val="FootnoteText"/>
        <w:rPr>
          <w:lang w:eastAsia="ja-JP"/>
        </w:rPr>
      </w:pPr>
      <w:r>
        <w:rPr>
          <w:rStyle w:val="FootnoteReference"/>
        </w:rPr>
        <w:footnoteRef/>
      </w:r>
      <w:r>
        <w:t xml:space="preserve"> </w:t>
      </w:r>
      <w:proofErr w:type="gramStart"/>
      <w:r w:rsidRPr="00F432AF">
        <w:rPr>
          <w:rFonts w:asciiTheme="minorBidi" w:hAnsiTheme="minorBidi" w:cstheme="minorBidi"/>
          <w:szCs w:val="16"/>
          <w:lang w:val="en-US"/>
        </w:rPr>
        <w:t>78</w:t>
      </w:r>
      <w:proofErr w:type="gramEnd"/>
      <w:r w:rsidRPr="00F432AF">
        <w:rPr>
          <w:rFonts w:asciiTheme="minorBidi" w:hAnsiTheme="minorBidi" w:cstheme="minorBidi"/>
          <w:szCs w:val="16"/>
          <w:lang w:val="en-US"/>
        </w:rPr>
        <w:t xml:space="preserve"> exposure </w:t>
      </w:r>
      <w:r w:rsidRPr="00A869DC">
        <w:rPr>
          <w:rFonts w:asciiTheme="minorBidi" w:hAnsiTheme="minorBidi" w:cstheme="minorBidi"/>
          <w:szCs w:val="16"/>
          <w:lang w:val="en-US"/>
        </w:rPr>
        <w:t>communities with 9,874 households, 29 full intervention communities with 820 households and in 12 graduated communities with 2,163 households</w:t>
      </w:r>
      <w:r w:rsidRPr="00F432AF">
        <w:rPr>
          <w:rFonts w:asciiTheme="minorBidi" w:hAnsiTheme="minorBidi" w:cstheme="minorBidi"/>
          <w:szCs w:val="16"/>
          <w:lang w:val="en-US"/>
        </w:rPr>
        <w:t>. (October 2017 supervision mission report)</w:t>
      </w:r>
      <w:r>
        <w:rPr>
          <w:rFonts w:asciiTheme="minorBidi" w:hAnsiTheme="minorBidi" w:cstheme="minorBidi"/>
          <w:szCs w:val="16"/>
          <w:lang w:val="en-US"/>
        </w:rPr>
        <w:t xml:space="preserve">. </w:t>
      </w:r>
    </w:p>
  </w:footnote>
  <w:footnote w:id="16">
    <w:p w:rsidR="00E31773" w:rsidRPr="002724FA" w:rsidRDefault="00E31773">
      <w:pPr>
        <w:pStyle w:val="FootnoteText"/>
        <w:rPr>
          <w:lang w:eastAsia="ja-JP"/>
        </w:rPr>
      </w:pPr>
      <w:r>
        <w:rPr>
          <w:rStyle w:val="FootnoteReference"/>
        </w:rPr>
        <w:footnoteRef/>
      </w:r>
      <w:r>
        <w:t xml:space="preserve"> Exposure communities are “</w:t>
      </w:r>
      <w:r w:rsidRPr="002C26CB">
        <w:rPr>
          <w:rFonts w:asciiTheme="minorBidi" w:eastAsia="Arial" w:hAnsiTheme="minorBidi" w:cstheme="minorBidi"/>
        </w:rPr>
        <w:t>communities targeted by the project and some non-target communities but with proximity to full intervention communities/villages. These communities have not been able to apply any agricultural technologies by the project on their land/fields, nor have they been able to observe the experience of the communities targeted by project interventions in previous years</w:t>
      </w:r>
      <w:r>
        <w:rPr>
          <w:rFonts w:asciiTheme="minorBidi" w:eastAsia="Arial" w:hAnsiTheme="minorBidi" w:cstheme="minorBidi"/>
        </w:rPr>
        <w:t>”.</w:t>
      </w:r>
    </w:p>
  </w:footnote>
  <w:footnote w:id="17">
    <w:p w:rsidR="00E31773" w:rsidRPr="00DD2842" w:rsidRDefault="00E31773" w:rsidP="00E11327">
      <w:pPr>
        <w:pStyle w:val="FootnoteText"/>
      </w:pPr>
      <w:r w:rsidRPr="00FC3113">
        <w:rPr>
          <w:rStyle w:val="FootnoteReference"/>
        </w:rPr>
        <w:footnoteRef/>
      </w:r>
      <w:r w:rsidRPr="00FC3113">
        <w:t xml:space="preserve"> Information from previous WSRMP/SDP project coordinator.</w:t>
      </w:r>
      <w:r>
        <w:t xml:space="preserve"> </w:t>
      </w:r>
    </w:p>
  </w:footnote>
  <w:footnote w:id="18">
    <w:p w:rsidR="00E31773" w:rsidRPr="004A5ABB" w:rsidRDefault="00E31773" w:rsidP="002F1DA2">
      <w:pPr>
        <w:pStyle w:val="FootnoteText"/>
        <w:rPr>
          <w:lang w:val="en-GB"/>
        </w:rPr>
      </w:pPr>
      <w:r>
        <w:rPr>
          <w:rStyle w:val="FootnoteReference"/>
        </w:rPr>
        <w:footnoteRef/>
      </w:r>
      <w:r>
        <w:t xml:space="preserve"> A new Plant Variety Protection Law </w:t>
      </w:r>
      <w:r w:rsidRPr="004A5ABB">
        <w:t>would enable Sudan to become</w:t>
      </w:r>
      <w:r>
        <w:t xml:space="preserve"> a member of the International U</w:t>
      </w:r>
      <w:r w:rsidRPr="004A5ABB">
        <w:t xml:space="preserve">nion for </w:t>
      </w:r>
      <w:r>
        <w:t>the P</w:t>
      </w:r>
      <w:r w:rsidRPr="004A5ABB">
        <w:t xml:space="preserve">rotection of </w:t>
      </w:r>
      <w:r>
        <w:t>N</w:t>
      </w:r>
      <w:r w:rsidRPr="004A5ABB">
        <w:t xml:space="preserve">ew </w:t>
      </w:r>
      <w:r>
        <w:t>Varieties of Plants.</w:t>
      </w:r>
    </w:p>
  </w:footnote>
  <w:footnote w:id="19">
    <w:p w:rsidR="00E31773" w:rsidRPr="00C44FE8" w:rsidRDefault="00E31773" w:rsidP="00C44FE8">
      <w:pPr>
        <w:pStyle w:val="FootnoteText"/>
        <w:rPr>
          <w:lang w:val="en-GB"/>
        </w:rPr>
      </w:pPr>
      <w:r>
        <w:rPr>
          <w:rStyle w:val="FootnoteReference"/>
        </w:rPr>
        <w:footnoteRef/>
      </w:r>
      <w:r>
        <w:t xml:space="preserve"> Varieties of </w:t>
      </w:r>
      <w:r>
        <w:rPr>
          <w:lang w:val="en-GB"/>
        </w:rPr>
        <w:t>Sorghum, cowpeas, groundnut, pigeon pea, cowpea, hibiscus, sesame.</w:t>
      </w:r>
    </w:p>
  </w:footnote>
  <w:footnote w:id="20">
    <w:p w:rsidR="00E31773" w:rsidRPr="00C44FE8" w:rsidRDefault="00E31773" w:rsidP="00BD313C">
      <w:pPr>
        <w:pStyle w:val="FootnoteText"/>
        <w:rPr>
          <w:lang w:val="en-GB"/>
        </w:rPr>
      </w:pPr>
      <w:r>
        <w:rPr>
          <w:rStyle w:val="FootnoteReference"/>
        </w:rPr>
        <w:footnoteRef/>
      </w:r>
      <w:r w:rsidRPr="00C44FE8">
        <w:rPr>
          <w:lang w:val="en-GB"/>
        </w:rPr>
        <w:t xml:space="preserve"> PCR, p. 7</w:t>
      </w:r>
      <w:r>
        <w:rPr>
          <w:lang w:val="en-GB"/>
        </w:rPr>
        <w:t>.</w:t>
      </w:r>
      <w:r w:rsidRPr="00C44FE8">
        <w:rPr>
          <w:lang w:val="en-GB"/>
        </w:rPr>
        <w:t xml:space="preserve">   </w:t>
      </w:r>
    </w:p>
  </w:footnote>
  <w:footnote w:id="21">
    <w:p w:rsidR="00E31773" w:rsidRPr="00923846" w:rsidRDefault="00E31773" w:rsidP="00234507">
      <w:pPr>
        <w:pStyle w:val="FootnoteText"/>
        <w:rPr>
          <w:lang w:val="en-GB"/>
        </w:rPr>
      </w:pPr>
      <w:r>
        <w:rPr>
          <w:rStyle w:val="FootnoteReference"/>
        </w:rPr>
        <w:footnoteRef/>
      </w:r>
      <w:r w:rsidRPr="00923846">
        <w:rPr>
          <w:lang w:val="en-GB"/>
        </w:rPr>
        <w:t xml:space="preserve"> PCR, p. 8</w:t>
      </w:r>
      <w:r>
        <w:rPr>
          <w:lang w:val="en-GB"/>
        </w:rPr>
        <w:t>.</w:t>
      </w:r>
    </w:p>
  </w:footnote>
  <w:footnote w:id="22">
    <w:p w:rsidR="00E31773" w:rsidRDefault="00E31773">
      <w:pPr>
        <w:pStyle w:val="FootnoteText"/>
        <w:rPr>
          <w:lang w:eastAsia="ja-JP"/>
        </w:rPr>
      </w:pPr>
      <w:r>
        <w:rPr>
          <w:rStyle w:val="FootnoteReference"/>
        </w:rPr>
        <w:footnoteRef/>
      </w:r>
      <w:r>
        <w:t xml:space="preserve"> </w:t>
      </w:r>
      <w:r>
        <w:rPr>
          <w:rFonts w:hint="eastAsia"/>
          <w:lang w:eastAsia="ja-JP"/>
        </w:rPr>
        <w:t xml:space="preserve">Information provided by </w:t>
      </w:r>
      <w:r>
        <w:rPr>
          <w:lang w:eastAsia="ja-JP"/>
        </w:rPr>
        <w:t>previous WSRMP/SDP coordinator.</w:t>
      </w:r>
    </w:p>
  </w:footnote>
  <w:footnote w:id="23">
    <w:p w:rsidR="00E31773" w:rsidRPr="00587B02" w:rsidRDefault="00E31773" w:rsidP="00BD5F4F">
      <w:pPr>
        <w:pStyle w:val="FootnoteText"/>
        <w:rPr>
          <w:lang w:val="en-GB"/>
        </w:rPr>
      </w:pPr>
      <w:r>
        <w:rPr>
          <w:rStyle w:val="FootnoteReference"/>
        </w:rPr>
        <w:footnoteRef/>
      </w:r>
      <w:r>
        <w:t xml:space="preserve"> </w:t>
      </w:r>
      <w:r>
        <w:rPr>
          <w:lang w:val="en-GB"/>
        </w:rPr>
        <w:t>Supervision report (2016) indicated an increase in the d</w:t>
      </w:r>
      <w:r w:rsidRPr="00587B02">
        <w:rPr>
          <w:lang w:val="en-GB"/>
        </w:rPr>
        <w:t>emand for seed: for 2017 in N</w:t>
      </w:r>
      <w:r>
        <w:rPr>
          <w:lang w:val="en-GB"/>
        </w:rPr>
        <w:t xml:space="preserve">orth </w:t>
      </w:r>
      <w:proofErr w:type="spellStart"/>
      <w:r>
        <w:rPr>
          <w:lang w:val="en-GB"/>
        </w:rPr>
        <w:t>Kordofan</w:t>
      </w:r>
      <w:proofErr w:type="spellEnd"/>
      <w:r w:rsidRPr="00587B02">
        <w:rPr>
          <w:lang w:val="en-GB"/>
        </w:rPr>
        <w:t xml:space="preserve"> </w:t>
      </w:r>
      <w:proofErr w:type="gramStart"/>
      <w:r w:rsidRPr="00587B02">
        <w:rPr>
          <w:lang w:val="en-GB"/>
        </w:rPr>
        <w:t>RANS</w:t>
      </w:r>
      <w:proofErr w:type="gramEnd"/>
      <w:r>
        <w:rPr>
          <w:lang w:val="en-GB"/>
        </w:rPr>
        <w:t xml:space="preserve"> company</w:t>
      </w:r>
      <w:r w:rsidRPr="00587B02">
        <w:rPr>
          <w:lang w:val="en-GB"/>
        </w:rPr>
        <w:t xml:space="preserve"> increased their contract for certified groundnut production from 200 to 380 </w:t>
      </w:r>
      <w:proofErr w:type="spellStart"/>
      <w:r w:rsidRPr="00587B02">
        <w:rPr>
          <w:lang w:val="en-GB"/>
        </w:rPr>
        <w:t>feddan</w:t>
      </w:r>
      <w:r>
        <w:rPr>
          <w:lang w:val="en-GB"/>
        </w:rPr>
        <w:t>s</w:t>
      </w:r>
      <w:proofErr w:type="spellEnd"/>
      <w:r w:rsidRPr="00587B02">
        <w:rPr>
          <w:lang w:val="en-GB"/>
        </w:rPr>
        <w:t xml:space="preserve"> and ASSCO increased from 50 to 103 </w:t>
      </w:r>
      <w:proofErr w:type="spellStart"/>
      <w:r w:rsidRPr="00587B02">
        <w:rPr>
          <w:lang w:val="en-GB"/>
        </w:rPr>
        <w:t>feddans</w:t>
      </w:r>
      <w:proofErr w:type="spellEnd"/>
      <w:r>
        <w:rPr>
          <w:lang w:val="en-GB"/>
        </w:rPr>
        <w:t>.</w:t>
      </w:r>
    </w:p>
  </w:footnote>
  <w:footnote w:id="24">
    <w:p w:rsidR="00E31773" w:rsidRPr="00E86985" w:rsidRDefault="00E31773" w:rsidP="00C350DC">
      <w:pPr>
        <w:pStyle w:val="FootnoteText"/>
        <w:rPr>
          <w:lang w:val="en-GB"/>
        </w:rPr>
      </w:pPr>
      <w:r>
        <w:rPr>
          <w:rStyle w:val="FootnoteReference"/>
        </w:rPr>
        <w:footnoteRef/>
      </w:r>
      <w:r>
        <w:t xml:space="preserve"> </w:t>
      </w:r>
      <w:r>
        <w:rPr>
          <w:lang w:val="en-GB"/>
        </w:rPr>
        <w:t>The assessment covered 31 communities with 647 households. It covered domains related to SPG and GPG: rate and degree of adoption of technologies; level of effective demand for main crops and compare it with previous season, in addition to data for assessing the efficiency and effectiveness of GPG and SPG.</w:t>
      </w:r>
    </w:p>
  </w:footnote>
  <w:footnote w:id="25">
    <w:p w:rsidR="00E31773" w:rsidRPr="0007092D" w:rsidRDefault="00E31773" w:rsidP="00044F6B">
      <w:pPr>
        <w:pStyle w:val="FootnoteText"/>
        <w:rPr>
          <w:lang w:val="en-GB"/>
        </w:rPr>
      </w:pPr>
      <w:r>
        <w:rPr>
          <w:rStyle w:val="FootnoteReference"/>
        </w:rPr>
        <w:footnoteRef/>
      </w:r>
      <w:r w:rsidRPr="00923846">
        <w:rPr>
          <w:lang w:val="en-GB"/>
        </w:rPr>
        <w:t xml:space="preserve"> PCR, p 13.</w:t>
      </w:r>
      <w:r>
        <w:rPr>
          <w:lang w:val="en-GB"/>
        </w:rPr>
        <w:t xml:space="preserve"> </w:t>
      </w:r>
    </w:p>
  </w:footnote>
  <w:footnote w:id="26">
    <w:p w:rsidR="00E31773" w:rsidRPr="004C7537" w:rsidRDefault="00E31773">
      <w:pPr>
        <w:pStyle w:val="FootnoteText"/>
        <w:rPr>
          <w:lang w:val="en-GB"/>
        </w:rPr>
      </w:pPr>
      <w:r>
        <w:rPr>
          <w:rStyle w:val="FootnoteReference"/>
        </w:rPr>
        <w:footnoteRef/>
      </w:r>
      <w:r>
        <w:t xml:space="preserve"> </w:t>
      </w:r>
      <w:r w:rsidRPr="004C7537">
        <w:t>The last supervision report commented that SDP was unsuccessful in forming savings and credit groups with internal capital in the SDP villages and "has still" not developed a strong foothold in these villages with other loan products</w:t>
      </w:r>
      <w:r>
        <w:t>.</w:t>
      </w:r>
    </w:p>
  </w:footnote>
  <w:footnote w:id="27">
    <w:p w:rsidR="00E31773" w:rsidRPr="005F2BCA" w:rsidRDefault="00E31773" w:rsidP="00B851EB">
      <w:pPr>
        <w:pStyle w:val="FootnoteText"/>
        <w:rPr>
          <w:lang w:val="en-GB"/>
        </w:rPr>
      </w:pPr>
      <w:r>
        <w:rPr>
          <w:rStyle w:val="FootnoteReference"/>
        </w:rPr>
        <w:footnoteRef/>
      </w:r>
      <w:r>
        <w:t xml:space="preserve"> </w:t>
      </w:r>
      <w:r>
        <w:rPr>
          <w:lang w:val="en-GB"/>
        </w:rPr>
        <w:t>Presentation by the PCU during the CSPE preparatory mission, March 2019.</w:t>
      </w:r>
    </w:p>
  </w:footnote>
  <w:footnote w:id="28">
    <w:p w:rsidR="00E31773" w:rsidRPr="00EB7409" w:rsidRDefault="00E31773">
      <w:pPr>
        <w:pStyle w:val="FootnoteText"/>
      </w:pPr>
      <w:r>
        <w:rPr>
          <w:rStyle w:val="FootnoteReference"/>
        </w:rPr>
        <w:footnoteRef/>
      </w:r>
      <w:r>
        <w:t xml:space="preserve"> For projects approved between 1999 and 2017.</w:t>
      </w:r>
    </w:p>
  </w:footnote>
  <w:footnote w:id="29">
    <w:p w:rsidR="00E31773" w:rsidRPr="00F65983" w:rsidRDefault="00E31773">
      <w:pPr>
        <w:pStyle w:val="FootnoteText"/>
      </w:pPr>
      <w:r>
        <w:rPr>
          <w:rStyle w:val="FootnoteReference"/>
        </w:rPr>
        <w:footnoteRef/>
      </w:r>
      <w:r>
        <w:t xml:space="preserve"> In SDR.</w:t>
      </w:r>
    </w:p>
  </w:footnote>
  <w:footnote w:id="30">
    <w:p w:rsidR="00E31773" w:rsidRPr="00A738D2" w:rsidRDefault="00E31773" w:rsidP="00091141">
      <w:pPr>
        <w:pStyle w:val="FootnoteText"/>
        <w:rPr>
          <w:lang w:val="en-GB"/>
        </w:rPr>
      </w:pPr>
      <w:r>
        <w:rPr>
          <w:rStyle w:val="FootnoteReference"/>
        </w:rPr>
        <w:footnoteRef/>
      </w:r>
      <w:r>
        <w:t xml:space="preserve"> </w:t>
      </w:r>
      <w:r w:rsidRPr="00A738D2">
        <w:rPr>
          <w:lang w:val="en-GB"/>
        </w:rPr>
        <w:t xml:space="preserve">Inconsistencies </w:t>
      </w:r>
      <w:proofErr w:type="gramStart"/>
      <w:r w:rsidRPr="00A738D2">
        <w:rPr>
          <w:lang w:val="en-GB"/>
        </w:rPr>
        <w:t>are noted</w:t>
      </w:r>
      <w:proofErr w:type="gramEnd"/>
      <w:r w:rsidRPr="00A738D2">
        <w:rPr>
          <w:lang w:val="en-GB"/>
        </w:rPr>
        <w:t xml:space="preserve"> among estimated</w:t>
      </w:r>
      <w:r w:rsidR="00091141">
        <w:rPr>
          <w:lang w:val="en-GB"/>
        </w:rPr>
        <w:t xml:space="preserve"> </w:t>
      </w:r>
      <w:r w:rsidR="00091141" w:rsidRPr="00091141">
        <w:rPr>
          <w:lang w:val="en-GB"/>
        </w:rPr>
        <w:t>economic internal rate of return</w:t>
      </w:r>
      <w:r w:rsidRPr="00A738D2">
        <w:rPr>
          <w:lang w:val="en-GB"/>
        </w:rPr>
        <w:t xml:space="preserve"> at appraisal as it follows: </w:t>
      </w:r>
      <w:r>
        <w:rPr>
          <w:lang w:val="en-GB"/>
        </w:rPr>
        <w:t xml:space="preserve">design report </w:t>
      </w:r>
      <w:r w:rsidRPr="00A738D2">
        <w:rPr>
          <w:lang w:val="en-GB"/>
        </w:rPr>
        <w:t>para</w:t>
      </w:r>
      <w:r>
        <w:rPr>
          <w:lang w:val="en-GB"/>
        </w:rPr>
        <w:t>graph</w:t>
      </w:r>
      <w:r w:rsidRPr="00A738D2">
        <w:rPr>
          <w:lang w:val="en-GB"/>
        </w:rPr>
        <w:t xml:space="preserve"> 19 </w:t>
      </w:r>
      <w:r>
        <w:rPr>
          <w:lang w:val="en-GB"/>
        </w:rPr>
        <w:t xml:space="preserve">in page vii - </w:t>
      </w:r>
      <w:r w:rsidRPr="00A738D2">
        <w:rPr>
          <w:lang w:val="en-GB"/>
        </w:rPr>
        <w:t>25 per cent</w:t>
      </w:r>
      <w:r>
        <w:rPr>
          <w:lang w:val="en-GB"/>
        </w:rPr>
        <w:t>;</w:t>
      </w:r>
      <w:r w:rsidRPr="00A738D2">
        <w:rPr>
          <w:lang w:val="en-GB"/>
        </w:rPr>
        <w:t xml:space="preserve"> </w:t>
      </w:r>
      <w:r>
        <w:rPr>
          <w:lang w:val="en-GB"/>
        </w:rPr>
        <w:t xml:space="preserve">design report </w:t>
      </w:r>
      <w:r w:rsidRPr="00A738D2">
        <w:rPr>
          <w:lang w:val="en-GB"/>
        </w:rPr>
        <w:t>para</w:t>
      </w:r>
      <w:r>
        <w:rPr>
          <w:lang w:val="en-GB"/>
        </w:rPr>
        <w:t>graph</w:t>
      </w:r>
      <w:r w:rsidRPr="00A738D2">
        <w:rPr>
          <w:lang w:val="en-GB"/>
        </w:rPr>
        <w:t xml:space="preserve"> 117 </w:t>
      </w:r>
      <w:r>
        <w:rPr>
          <w:lang w:val="en-GB"/>
        </w:rPr>
        <w:t>as well as a</w:t>
      </w:r>
      <w:r w:rsidRPr="00A738D2">
        <w:rPr>
          <w:lang w:val="en-GB"/>
        </w:rPr>
        <w:t xml:space="preserve">nnex 10 </w:t>
      </w:r>
      <w:r>
        <w:rPr>
          <w:lang w:val="en-GB"/>
        </w:rPr>
        <w:t>-</w:t>
      </w:r>
      <w:r w:rsidRPr="00A738D2">
        <w:rPr>
          <w:lang w:val="en-GB"/>
        </w:rPr>
        <w:t xml:space="preserve"> 13 per cent</w:t>
      </w:r>
      <w:r>
        <w:rPr>
          <w:lang w:val="en-GB"/>
        </w:rPr>
        <w:t>; and economic and financial analysis excel spreadsheet – 24 per cent.</w:t>
      </w:r>
      <w:r w:rsidRPr="00A738D2">
        <w:rPr>
          <w:lang w:val="en-GB"/>
        </w:rPr>
        <w:t xml:space="preserve"> </w:t>
      </w:r>
      <w:r>
        <w:rPr>
          <w:lang w:val="en-GB"/>
        </w:rPr>
        <w:t>T</w:t>
      </w:r>
      <w:r w:rsidRPr="00A738D2">
        <w:rPr>
          <w:lang w:val="en-GB"/>
        </w:rPr>
        <w:t xml:space="preserve">he PCR reports </w:t>
      </w:r>
      <w:r w:rsidR="00091141" w:rsidRPr="00091141">
        <w:rPr>
          <w:lang w:val="en-GB"/>
        </w:rPr>
        <w:t xml:space="preserve">economic internal rate of return </w:t>
      </w:r>
      <w:proofErr w:type="gramStart"/>
      <w:r>
        <w:rPr>
          <w:lang w:val="en-GB"/>
        </w:rPr>
        <w:t>was estimated</w:t>
      </w:r>
      <w:proofErr w:type="gramEnd"/>
      <w:r>
        <w:rPr>
          <w:lang w:val="en-GB"/>
        </w:rPr>
        <w:t xml:space="preserve"> as </w:t>
      </w:r>
      <w:r w:rsidRPr="00A738D2">
        <w:rPr>
          <w:lang w:val="en-GB"/>
        </w:rPr>
        <w:t>26 per cent at appraisal</w:t>
      </w:r>
      <w:r>
        <w:rPr>
          <w:lang w:val="en-GB"/>
        </w:rPr>
        <w:t>.</w:t>
      </w:r>
    </w:p>
  </w:footnote>
  <w:footnote w:id="31">
    <w:p w:rsidR="00E31773" w:rsidRPr="0059478F" w:rsidRDefault="00E31773" w:rsidP="008E780B">
      <w:pPr>
        <w:pStyle w:val="FootnoteText"/>
        <w:rPr>
          <w:lang w:val="en-US"/>
        </w:rPr>
      </w:pPr>
      <w:r>
        <w:rPr>
          <w:rStyle w:val="FootnoteReference"/>
        </w:rPr>
        <w:footnoteRef/>
      </w:r>
      <w:r>
        <w:t xml:space="preserve"> The 2017 assessment covered 31 communities with 647 households. It did not cover impact domain but reported on the </w:t>
      </w:r>
      <w:r w:rsidRPr="0059478F">
        <w:rPr>
          <w:lang w:val="en-US"/>
        </w:rPr>
        <w:t>rate and degree of adoption of the technologies</w:t>
      </w:r>
      <w:r>
        <w:rPr>
          <w:lang w:val="en-US"/>
        </w:rPr>
        <w:t xml:space="preserve">, </w:t>
      </w:r>
      <w:r w:rsidRPr="0059478F">
        <w:rPr>
          <w:lang w:val="en-US"/>
        </w:rPr>
        <w:t>effective demand for 2017</w:t>
      </w:r>
      <w:r>
        <w:rPr>
          <w:lang w:val="en-US"/>
        </w:rPr>
        <w:t>, etc.</w:t>
      </w:r>
    </w:p>
  </w:footnote>
  <w:footnote w:id="32">
    <w:p w:rsidR="00E31773" w:rsidRPr="007A7008" w:rsidRDefault="00E31773" w:rsidP="007A7008">
      <w:pPr>
        <w:pStyle w:val="FootnoteText"/>
        <w:rPr>
          <w:lang w:val="en-GB"/>
        </w:rPr>
      </w:pPr>
      <w:r>
        <w:rPr>
          <w:rStyle w:val="FootnoteReference"/>
        </w:rPr>
        <w:footnoteRef/>
      </w:r>
      <w:r>
        <w:t xml:space="preserve"> The mission </w:t>
      </w:r>
      <w:r w:rsidRPr="007A7008">
        <w:t>interviewed a sample of 46 beneficiaries and us</w:t>
      </w:r>
      <w:r>
        <w:t>ed</w:t>
      </w:r>
      <w:r w:rsidRPr="007A7008">
        <w:t xml:space="preserve"> proxy indicators, namely for the </w:t>
      </w:r>
      <w:r w:rsidRPr="007A7008">
        <w:rPr>
          <w:i/>
          <w:iCs/>
        </w:rPr>
        <w:t>household incomes and assets</w:t>
      </w:r>
      <w:r w:rsidRPr="007A7008">
        <w:t xml:space="preserve"> and </w:t>
      </w:r>
      <w:r w:rsidRPr="007A7008">
        <w:rPr>
          <w:i/>
          <w:iCs/>
        </w:rPr>
        <w:t>food security.</w:t>
      </w:r>
    </w:p>
  </w:footnote>
  <w:footnote w:id="33">
    <w:p w:rsidR="00E31773" w:rsidRPr="00791115" w:rsidRDefault="00E31773">
      <w:pPr>
        <w:pStyle w:val="FootnoteText"/>
      </w:pPr>
      <w:r>
        <w:rPr>
          <w:rStyle w:val="FootnoteReference"/>
        </w:rPr>
        <w:footnoteRef/>
      </w:r>
      <w:r>
        <w:t xml:space="preserve"> Supervision reports March 2014, Jan and Oct 2016.</w:t>
      </w:r>
    </w:p>
  </w:footnote>
  <w:footnote w:id="34">
    <w:p w:rsidR="00E31773" w:rsidRPr="00EC1C8A" w:rsidRDefault="00E31773">
      <w:pPr>
        <w:pStyle w:val="FootnoteText"/>
        <w:rPr>
          <w:lang w:eastAsia="ja-JP"/>
        </w:rPr>
      </w:pPr>
      <w:r w:rsidRPr="00EC1C8A">
        <w:rPr>
          <w:rStyle w:val="FootnoteReference"/>
        </w:rPr>
        <w:footnoteRef/>
      </w:r>
      <w:r w:rsidRPr="00EC1C8A">
        <w:t xml:space="preserve"> </w:t>
      </w:r>
      <w:r w:rsidRPr="00EC1C8A">
        <w:rPr>
          <w:lang w:eastAsia="ja-JP"/>
        </w:rPr>
        <w:t xml:space="preserve">In the table indicated as “with SDP” compared to “before SDP”. </w:t>
      </w:r>
    </w:p>
  </w:footnote>
  <w:footnote w:id="35">
    <w:p w:rsidR="00E31773" w:rsidRPr="00AB4D02" w:rsidRDefault="00E31773" w:rsidP="00AB4D02">
      <w:pPr>
        <w:pStyle w:val="FootnoteText"/>
        <w:rPr>
          <w:lang w:eastAsia="ja-JP"/>
        </w:rPr>
      </w:pPr>
      <w:r w:rsidRPr="00EC1C8A">
        <w:rPr>
          <w:rStyle w:val="FootnoteReference"/>
        </w:rPr>
        <w:footnoteRef/>
      </w:r>
      <w:r w:rsidRPr="00EC1C8A">
        <w:t xml:space="preserve"> As indicated above, “y</w:t>
      </w:r>
      <w:r w:rsidRPr="00EC1C8A">
        <w:rPr>
          <w:lang w:eastAsia="ja-JP"/>
        </w:rPr>
        <w:t xml:space="preserve">early assessments” covered indicators related to crop production and did not include parameters such as household incomes or assets. It is not clear how the reported data on household assets </w:t>
      </w:r>
      <w:proofErr w:type="gramStart"/>
      <w:r w:rsidRPr="00EC1C8A">
        <w:rPr>
          <w:lang w:eastAsia="ja-JP"/>
        </w:rPr>
        <w:t>were generated</w:t>
      </w:r>
      <w:proofErr w:type="gramEnd"/>
      <w:r w:rsidRPr="00EC1C8A">
        <w:rPr>
          <w:lang w:eastAsia="ja-JP"/>
        </w:rPr>
        <w:t>.</w:t>
      </w:r>
      <w:r>
        <w:rPr>
          <w:lang w:eastAsia="ja-JP"/>
        </w:rPr>
        <w:t xml:space="preserve">  </w:t>
      </w:r>
    </w:p>
  </w:footnote>
  <w:footnote w:id="36">
    <w:p w:rsidR="00E31773" w:rsidRPr="004A5ABB" w:rsidRDefault="00E31773" w:rsidP="00326788">
      <w:pPr>
        <w:pStyle w:val="FootnoteText"/>
        <w:rPr>
          <w:lang w:val="en-GB"/>
        </w:rPr>
      </w:pPr>
      <w:r>
        <w:rPr>
          <w:rStyle w:val="FootnoteReference"/>
        </w:rPr>
        <w:footnoteRef/>
      </w:r>
      <w:r>
        <w:t xml:space="preserve"> A new</w:t>
      </w:r>
      <w:r w:rsidR="00326788">
        <w:t xml:space="preserve"> </w:t>
      </w:r>
      <w:r w:rsidR="00326788" w:rsidRPr="00326788">
        <w:t xml:space="preserve">Plant Variety Protection </w:t>
      </w:r>
      <w:r w:rsidRPr="004A5ABB">
        <w:t>would enable Sudan to become a member of the International union for the pr</w:t>
      </w:r>
      <w:r>
        <w:t>otection of new plant varieties.</w:t>
      </w:r>
    </w:p>
  </w:footnote>
  <w:footnote w:id="37">
    <w:p w:rsidR="00E31773" w:rsidRPr="006F6C65" w:rsidRDefault="00E31773" w:rsidP="00231A78">
      <w:pPr>
        <w:pStyle w:val="FootnoteText"/>
      </w:pPr>
      <w:r>
        <w:rPr>
          <w:rStyle w:val="FootnoteReference"/>
        </w:rPr>
        <w:footnoteRef/>
      </w:r>
      <w:r>
        <w:t xml:space="preserve"> </w:t>
      </w:r>
      <w:proofErr w:type="gramStart"/>
      <w:r>
        <w:t xml:space="preserve">The project has started in 2018 and covers Sinner, North, South, and West </w:t>
      </w:r>
      <w:proofErr w:type="spellStart"/>
      <w:r>
        <w:t>Kordofan</w:t>
      </w:r>
      <w:proofErr w:type="spellEnd"/>
      <w:r>
        <w:t>.</w:t>
      </w:r>
      <w:proofErr w:type="gramEnd"/>
      <w:r>
        <w:t xml:space="preserve"> Its objective includes </w:t>
      </w:r>
      <w:r w:rsidRPr="00956A8E">
        <w:t>improving market linkage for smallholder farmers an</w:t>
      </w:r>
      <w:r>
        <w:t>d facilitating a private sector-</w:t>
      </w:r>
      <w:r w:rsidRPr="00956A8E">
        <w:t>led supply chain for services and inputs.</w:t>
      </w:r>
    </w:p>
  </w:footnote>
  <w:footnote w:id="38">
    <w:p w:rsidR="00E31773" w:rsidRPr="006C51F2" w:rsidRDefault="00E31773">
      <w:pPr>
        <w:pStyle w:val="FootnoteText"/>
      </w:pPr>
      <w:r>
        <w:rPr>
          <w:rStyle w:val="FootnoteReference"/>
        </w:rPr>
        <w:footnoteRef/>
      </w:r>
      <w:r>
        <w:t xml:space="preserve"> Supervision report, January 2016 and stakeholder workshop held in September 2018.</w:t>
      </w:r>
    </w:p>
  </w:footnote>
  <w:footnote w:id="39">
    <w:p w:rsidR="00E31773" w:rsidRPr="00EC20B1" w:rsidRDefault="00E31773" w:rsidP="00D31C5C">
      <w:pPr>
        <w:pStyle w:val="FootnoteText"/>
        <w:rPr>
          <w:lang w:val="en-GB"/>
        </w:rPr>
      </w:pPr>
      <w:r>
        <w:rPr>
          <w:rStyle w:val="FootnoteReference"/>
        </w:rPr>
        <w:footnoteRef/>
      </w:r>
      <w:r>
        <w:t xml:space="preserve"> </w:t>
      </w:r>
      <w:r w:rsidRPr="00EC20B1">
        <w:t>IFAD’s operational framework for scaling up results</w:t>
      </w:r>
      <w:r w:rsidR="00064B5A">
        <w:t>, December 2015.</w:t>
      </w:r>
    </w:p>
  </w:footnote>
  <w:footnote w:id="40">
    <w:p w:rsidR="00E31773" w:rsidRPr="001962C1" w:rsidRDefault="00E31773">
      <w:pPr>
        <w:pStyle w:val="FootnoteText"/>
        <w:rPr>
          <w:lang w:val="en-GB"/>
        </w:rPr>
      </w:pPr>
      <w:r>
        <w:rPr>
          <w:rStyle w:val="FootnoteReference"/>
        </w:rPr>
        <w:footnoteRef/>
      </w:r>
      <w:r>
        <w:t xml:space="preserve"> </w:t>
      </w:r>
      <w:r>
        <w:rPr>
          <w:lang w:val="en-GB"/>
        </w:rPr>
        <w:t>PCR.</w:t>
      </w:r>
    </w:p>
  </w:footnote>
  <w:footnote w:id="41">
    <w:p w:rsidR="00E31773" w:rsidRPr="00F35B73" w:rsidRDefault="00E31773" w:rsidP="00330F19">
      <w:pPr>
        <w:pStyle w:val="FootnoteText"/>
        <w:rPr>
          <w:lang w:val="en-GB"/>
        </w:rPr>
      </w:pPr>
      <w:r>
        <w:rPr>
          <w:rStyle w:val="FootnoteReference"/>
        </w:rPr>
        <w:footnoteRef/>
      </w:r>
      <w:r>
        <w:t xml:space="preserve"> </w:t>
      </w:r>
      <w:proofErr w:type="gramStart"/>
      <w:r w:rsidR="00064B5A">
        <w:rPr>
          <w:lang w:val="en-GB"/>
        </w:rPr>
        <w:t>Stakeholders</w:t>
      </w:r>
      <w:proofErr w:type="gramEnd"/>
      <w:r w:rsidR="00064B5A">
        <w:rPr>
          <w:lang w:val="en-GB"/>
        </w:rPr>
        <w:t xml:space="preserve"> workshop, PCR.</w:t>
      </w:r>
      <w:r>
        <w:rPr>
          <w:lang w:val="en-GB"/>
        </w:rPr>
        <w:t xml:space="preserve"> </w:t>
      </w:r>
    </w:p>
  </w:footnote>
  <w:footnote w:id="42">
    <w:p w:rsidR="00E31773" w:rsidRPr="00DB27D9" w:rsidRDefault="00E31773" w:rsidP="009C3906">
      <w:pPr>
        <w:pStyle w:val="FootnoteText"/>
      </w:pPr>
      <w:r>
        <w:rPr>
          <w:rStyle w:val="FootnoteReference"/>
        </w:rPr>
        <w:footnoteRef/>
      </w:r>
      <w:r>
        <w:t xml:space="preserve"> PCR. </w:t>
      </w:r>
      <w:r w:rsidR="00765F7C">
        <w:t>p</w:t>
      </w:r>
      <w:r>
        <w:t>. 15.</w:t>
      </w:r>
    </w:p>
  </w:footnote>
  <w:footnote w:id="43">
    <w:p w:rsidR="00E31773" w:rsidRPr="00C511E6" w:rsidRDefault="00E31773">
      <w:pPr>
        <w:pStyle w:val="FootnoteText"/>
        <w:rPr>
          <w:lang w:val="en-GB"/>
        </w:rPr>
      </w:pPr>
      <w:r>
        <w:rPr>
          <w:rStyle w:val="FootnoteReference"/>
        </w:rPr>
        <w:footnoteRef/>
      </w:r>
      <w:r>
        <w:t xml:space="preserve"> </w:t>
      </w:r>
      <w:r>
        <w:rPr>
          <w:lang w:val="en-GB"/>
        </w:rPr>
        <w:t>Supervision report, January 2016.</w:t>
      </w:r>
    </w:p>
  </w:footnote>
  <w:footnote w:id="44">
    <w:p w:rsidR="00E31773" w:rsidRPr="00BE1DC2" w:rsidRDefault="00E31773">
      <w:pPr>
        <w:pStyle w:val="FootnoteText"/>
        <w:rPr>
          <w:lang w:val="en-GB"/>
        </w:rPr>
      </w:pPr>
      <w:r>
        <w:rPr>
          <w:rStyle w:val="FootnoteReference"/>
        </w:rPr>
        <w:footnoteRef/>
      </w:r>
      <w:r>
        <w:t xml:space="preserve"> </w:t>
      </w:r>
      <w:r>
        <w:rPr>
          <w:lang w:val="en-GB"/>
        </w:rPr>
        <w:t>Supervision report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3" w:rsidRDefault="00E31773" w:rsidP="00413D6C">
    <w:pPr>
      <w:pStyle w:val="Heade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3" w:rsidRDefault="00E31773">
    <w:pPr>
      <w:pStyle w:val="Header"/>
    </w:pPr>
    <w:r>
      <w:rPr>
        <w:noProof/>
        <w:lang w:val="en-GB" w:eastAsia="en-GB"/>
      </w:rPr>
      <w:drawing>
        <wp:inline distT="0" distB="0" distL="0" distR="0" wp14:anchorId="3F447C86" wp14:editId="4169FF2A">
          <wp:extent cx="5733415" cy="10097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newsletter-blu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3415" cy="1009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3" w:rsidRPr="00BB732A" w:rsidRDefault="00E31773">
    <w:pPr>
      <w:pStyle w:val="Header"/>
      <w:rPr>
        <w:sz w:val="16"/>
        <w:szCs w:val="16"/>
        <w:lang w:val="en-GB"/>
      </w:rPr>
    </w:pPr>
    <w:r>
      <w:rPr>
        <w:sz w:val="16"/>
        <w:szCs w:val="16"/>
        <w:lang w:val="en-GB"/>
      </w:rP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3" w:rsidRPr="00BB732A" w:rsidRDefault="00E31773">
    <w:pPr>
      <w:pStyle w:val="Header"/>
      <w:rPr>
        <w:sz w:val="16"/>
        <w:szCs w:val="16"/>
        <w:lang w:val="en-GB"/>
      </w:rPr>
    </w:pPr>
    <w:r>
      <w:rPr>
        <w:sz w:val="16"/>
        <w:szCs w:val="16"/>
        <w:lang w:val="en-GB"/>
      </w:rPr>
      <w:t>Annex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3" w:rsidRPr="009852E3" w:rsidRDefault="00E31773" w:rsidP="00D52C00">
    <w:pPr>
      <w:pStyle w:val="Header"/>
      <w:rPr>
        <w:sz w:val="16"/>
        <w:szCs w:val="16"/>
        <w:lang w:val="en-GB"/>
      </w:rPr>
    </w:pPr>
    <w:r w:rsidRPr="009852E3">
      <w:rPr>
        <w:sz w:val="16"/>
        <w:szCs w:val="16"/>
        <w:lang w:val="en-GB"/>
      </w:rPr>
      <w:t xml:space="preserve">Annex </w:t>
    </w:r>
    <w:r>
      <w:rPr>
        <w:sz w:val="16"/>
        <w:szCs w:val="16"/>
        <w:lang w:val="en-GB"/>
      </w:rPr>
      <w:t>III</w:t>
    </w:r>
  </w:p>
  <w:p w:rsidR="00E31773" w:rsidRPr="004628BE" w:rsidRDefault="00E31773" w:rsidP="004628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3" w:rsidRPr="009852E3" w:rsidRDefault="00E31773" w:rsidP="00D52C00">
    <w:pPr>
      <w:pStyle w:val="Header"/>
      <w:rPr>
        <w:sz w:val="16"/>
        <w:szCs w:val="16"/>
        <w:lang w:val="en-GB"/>
      </w:rPr>
    </w:pPr>
    <w:r w:rsidRPr="009852E3">
      <w:rPr>
        <w:sz w:val="16"/>
        <w:szCs w:val="16"/>
        <w:lang w:val="en-GB"/>
      </w:rPr>
      <w:t xml:space="preserve">Annex </w:t>
    </w:r>
    <w:r>
      <w:rPr>
        <w:sz w:val="16"/>
        <w:szCs w:val="16"/>
        <w:lang w:val="en-GB"/>
      </w:rPr>
      <w:t>IV</w:t>
    </w:r>
  </w:p>
  <w:p w:rsidR="00E31773" w:rsidRPr="004628BE" w:rsidRDefault="00E31773" w:rsidP="004628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3" w:rsidRPr="009852E3" w:rsidRDefault="00E31773" w:rsidP="00803426">
    <w:pPr>
      <w:pStyle w:val="Header"/>
      <w:rPr>
        <w:sz w:val="16"/>
        <w:szCs w:val="16"/>
        <w:lang w:val="en-GB"/>
      </w:rPr>
    </w:pPr>
    <w:r w:rsidRPr="009852E3">
      <w:rPr>
        <w:sz w:val="16"/>
        <w:szCs w:val="16"/>
        <w:lang w:val="en-GB"/>
      </w:rPr>
      <w:t xml:space="preserve">Annex </w:t>
    </w:r>
    <w:r>
      <w:rPr>
        <w:sz w:val="16"/>
        <w:szCs w:val="16"/>
        <w:lang w:val="en-GB"/>
      </w:rPr>
      <w:t>V</w:t>
    </w:r>
  </w:p>
  <w:p w:rsidR="00E31773" w:rsidRPr="004628BE" w:rsidRDefault="00E31773" w:rsidP="00462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FA81A8"/>
    <w:lvl w:ilvl="0">
      <w:start w:val="1"/>
      <w:numFmt w:val="decimal"/>
      <w:pStyle w:val="ListNumber"/>
      <w:lvlText w:val="%1."/>
      <w:lvlJc w:val="left"/>
      <w:pPr>
        <w:tabs>
          <w:tab w:val="num" w:pos="360"/>
        </w:tabs>
        <w:ind w:left="360" w:hanging="360"/>
      </w:pPr>
    </w:lvl>
  </w:abstractNum>
  <w:abstractNum w:abstractNumId="1" w15:restartNumberingAfterBreak="0">
    <w:nsid w:val="05E00BFE"/>
    <w:multiLevelType w:val="hybridMultilevel"/>
    <w:tmpl w:val="FF807148"/>
    <w:lvl w:ilvl="0" w:tplc="B302C4B6">
      <w:start w:val="1"/>
      <w:numFmt w:val="upperLetter"/>
      <w:pStyle w:val="Heading2noTOC"/>
      <w:lvlText w:val="%1."/>
      <w:lvlJc w:val="right"/>
      <w:pPr>
        <w:tabs>
          <w:tab w:val="num" w:pos="567"/>
        </w:tabs>
        <w:ind w:left="567" w:hanging="278"/>
      </w:pPr>
      <w:rPr>
        <w:rFonts w:ascii="Verdana" w:hAnsi="Verdana" w:cs="Arial" w:hint="default"/>
        <w:b/>
        <w:i w:val="0"/>
        <w:w w:val="10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6DE1E11"/>
    <w:multiLevelType w:val="hybridMultilevel"/>
    <w:tmpl w:val="67721A20"/>
    <w:lvl w:ilvl="0" w:tplc="E67CB272">
      <w:start w:val="1"/>
      <w:numFmt w:val="upperRoman"/>
      <w:pStyle w:val="Heading1"/>
      <w:lvlText w:val="%1."/>
      <w:lvlJc w:val="right"/>
      <w:pPr>
        <w:tabs>
          <w:tab w:val="num" w:pos="278"/>
        </w:tabs>
        <w:ind w:left="278" w:hanging="278"/>
      </w:pPr>
      <w:rPr>
        <w:rFonts w:ascii="Verdana" w:hAnsi="Verdana" w:hint="default"/>
        <w:b/>
        <w:i w:val="0"/>
        <w:sz w:val="28"/>
      </w:rPr>
    </w:lvl>
    <w:lvl w:ilvl="1" w:tplc="08090019" w:tentative="1">
      <w:start w:val="1"/>
      <w:numFmt w:val="lowerLetter"/>
      <w:lvlText w:val="%2."/>
      <w:lvlJc w:val="left"/>
      <w:pPr>
        <w:tabs>
          <w:tab w:val="num" w:pos="1151"/>
        </w:tabs>
        <w:ind w:left="1151" w:hanging="360"/>
      </w:pPr>
    </w:lvl>
    <w:lvl w:ilvl="2" w:tplc="0809001B" w:tentative="1">
      <w:start w:val="1"/>
      <w:numFmt w:val="lowerRoman"/>
      <w:lvlText w:val="%3."/>
      <w:lvlJc w:val="right"/>
      <w:pPr>
        <w:tabs>
          <w:tab w:val="num" w:pos="1871"/>
        </w:tabs>
        <w:ind w:left="1871" w:hanging="180"/>
      </w:pPr>
    </w:lvl>
    <w:lvl w:ilvl="3" w:tplc="0809000F" w:tentative="1">
      <w:start w:val="1"/>
      <w:numFmt w:val="decimal"/>
      <w:lvlText w:val="%4."/>
      <w:lvlJc w:val="left"/>
      <w:pPr>
        <w:tabs>
          <w:tab w:val="num" w:pos="2591"/>
        </w:tabs>
        <w:ind w:left="2591" w:hanging="360"/>
      </w:pPr>
    </w:lvl>
    <w:lvl w:ilvl="4" w:tplc="08090019" w:tentative="1">
      <w:start w:val="1"/>
      <w:numFmt w:val="lowerLetter"/>
      <w:lvlText w:val="%5."/>
      <w:lvlJc w:val="left"/>
      <w:pPr>
        <w:tabs>
          <w:tab w:val="num" w:pos="3311"/>
        </w:tabs>
        <w:ind w:left="3311" w:hanging="360"/>
      </w:pPr>
    </w:lvl>
    <w:lvl w:ilvl="5" w:tplc="0809001B" w:tentative="1">
      <w:start w:val="1"/>
      <w:numFmt w:val="lowerRoman"/>
      <w:lvlText w:val="%6."/>
      <w:lvlJc w:val="right"/>
      <w:pPr>
        <w:tabs>
          <w:tab w:val="num" w:pos="4031"/>
        </w:tabs>
        <w:ind w:left="4031" w:hanging="180"/>
      </w:pPr>
    </w:lvl>
    <w:lvl w:ilvl="6" w:tplc="0809000F" w:tentative="1">
      <w:start w:val="1"/>
      <w:numFmt w:val="decimal"/>
      <w:lvlText w:val="%7."/>
      <w:lvlJc w:val="left"/>
      <w:pPr>
        <w:tabs>
          <w:tab w:val="num" w:pos="4751"/>
        </w:tabs>
        <w:ind w:left="4751" w:hanging="360"/>
      </w:pPr>
    </w:lvl>
    <w:lvl w:ilvl="7" w:tplc="08090019" w:tentative="1">
      <w:start w:val="1"/>
      <w:numFmt w:val="lowerLetter"/>
      <w:lvlText w:val="%8."/>
      <w:lvlJc w:val="left"/>
      <w:pPr>
        <w:tabs>
          <w:tab w:val="num" w:pos="5471"/>
        </w:tabs>
        <w:ind w:left="5471" w:hanging="360"/>
      </w:pPr>
    </w:lvl>
    <w:lvl w:ilvl="8" w:tplc="0809001B" w:tentative="1">
      <w:start w:val="1"/>
      <w:numFmt w:val="lowerRoman"/>
      <w:lvlText w:val="%9."/>
      <w:lvlJc w:val="right"/>
      <w:pPr>
        <w:tabs>
          <w:tab w:val="num" w:pos="6191"/>
        </w:tabs>
        <w:ind w:left="6191" w:hanging="180"/>
      </w:pPr>
    </w:lvl>
  </w:abstractNum>
  <w:abstractNum w:abstractNumId="3" w15:restartNumberingAfterBreak="0">
    <w:nsid w:val="09D307FE"/>
    <w:multiLevelType w:val="hybridMultilevel"/>
    <w:tmpl w:val="36941FCC"/>
    <w:lvl w:ilvl="0" w:tplc="0809000F">
      <w:start w:val="1"/>
      <w:numFmt w:val="decimal"/>
      <w:lvlText w:val="%1."/>
      <w:lvlJc w:val="left"/>
      <w:pPr>
        <w:ind w:left="4897"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054DAB"/>
    <w:multiLevelType w:val="hybridMultilevel"/>
    <w:tmpl w:val="B3321638"/>
    <w:lvl w:ilvl="0" w:tplc="B33CABE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054B6"/>
    <w:multiLevelType w:val="hybridMultilevel"/>
    <w:tmpl w:val="F5681E2A"/>
    <w:lvl w:ilvl="0" w:tplc="89400322">
      <w:start w:val="1"/>
      <w:numFmt w:val="decimal"/>
      <w:lvlText w:val="%1."/>
      <w:lvlJc w:val="left"/>
      <w:pPr>
        <w:tabs>
          <w:tab w:val="num" w:pos="567"/>
        </w:tabs>
        <w:ind w:left="0" w:firstLine="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662CF"/>
    <w:multiLevelType w:val="multilevel"/>
    <w:tmpl w:val="F9E69D78"/>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Roman"/>
      <w:pStyle w:val="IFADparagraphno3rdlevel"/>
      <w:lvlText w:val="(%3)"/>
      <w:lvlJc w:val="left"/>
      <w:pPr>
        <w:tabs>
          <w:tab w:val="num" w:pos="1701"/>
        </w:tabs>
        <w:ind w:left="1701" w:hanging="567"/>
      </w:pPr>
      <w:rPr>
        <w:rFonts w:ascii="Verdana" w:hAnsi="Verdana" w:hint="default"/>
        <w:b w:val="0"/>
        <w:i w:val="0"/>
        <w:sz w:val="20"/>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914675"/>
    <w:multiLevelType w:val="multilevel"/>
    <w:tmpl w:val="5DE0D8D0"/>
    <w:styleLink w:val="Headings2"/>
    <w:lvl w:ilvl="0">
      <w:start w:val="1"/>
      <w:numFmt w:val="upperRoman"/>
      <w:lvlText w:val="%1."/>
      <w:lvlJc w:val="left"/>
      <w:pPr>
        <w:ind w:left="397" w:hanging="397"/>
      </w:pPr>
      <w:rPr>
        <w:rFonts w:hint="default"/>
      </w:rPr>
    </w:lvl>
    <w:lvl w:ilvl="1">
      <w:start w:val="1"/>
      <w:numFmt w:val="upperLetter"/>
      <w:lvlText w:val="%2."/>
      <w:lvlJc w:val="left"/>
      <w:pPr>
        <w:ind w:left="397" w:hanging="397"/>
      </w:pPr>
      <w:rPr>
        <w:rFonts w:ascii="Arial Bold" w:hAnsi="Arial Bold" w:hint="default"/>
        <w:b/>
        <w:i w:val="0"/>
        <w:sz w:val="24"/>
      </w:rPr>
    </w:lvl>
    <w:lvl w:ilvl="2">
      <w:start w:val="1"/>
      <w:numFmt w:val="none"/>
      <w:lvlText w:val=""/>
      <w:lvlJc w:val="left"/>
      <w:pPr>
        <w:ind w:left="397" w:firstLine="0"/>
      </w:pPr>
      <w:rPr>
        <w:rFonts w:hint="default"/>
      </w:rPr>
    </w:lvl>
    <w:lvl w:ilvl="3">
      <w:start w:val="1"/>
      <w:numFmt w:val="decimal"/>
      <w:lvlText w:val="(%4)"/>
      <w:lvlJc w:val="left"/>
      <w:pPr>
        <w:ind w:left="397" w:firstLine="0"/>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8" w15:restartNumberingAfterBreak="0">
    <w:nsid w:val="1BF4296D"/>
    <w:multiLevelType w:val="hybridMultilevel"/>
    <w:tmpl w:val="9B7A0D76"/>
    <w:lvl w:ilvl="0" w:tplc="59C2F79A">
      <w:start w:val="1"/>
      <w:numFmt w:val="upperRoman"/>
      <w:pStyle w:val="Heading1noTOC"/>
      <w:lvlText w:val="%1."/>
      <w:lvlJc w:val="right"/>
      <w:pPr>
        <w:tabs>
          <w:tab w:val="num" w:pos="567"/>
        </w:tabs>
        <w:ind w:left="567" w:hanging="278"/>
      </w:pPr>
      <w:rPr>
        <w:rFonts w:ascii="Verdana" w:hAnsi="Verdana" w:hint="default"/>
        <w:b/>
        <w:i w:val="0"/>
        <w:sz w:val="2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5B71583"/>
    <w:multiLevelType w:val="multilevel"/>
    <w:tmpl w:val="D1428C8C"/>
    <w:styleLink w:val="AnnexHeadings"/>
    <w:lvl w:ilvl="0">
      <w:start w:val="1"/>
      <w:numFmt w:val="upperRoman"/>
      <w:pStyle w:val="AHeading1"/>
      <w:lvlText w:val="%1."/>
      <w:lvlJc w:val="left"/>
      <w:pPr>
        <w:ind w:left="360" w:hanging="360"/>
      </w:pPr>
      <w:rPr>
        <w:rFonts w:ascii="Arial Bold" w:hAnsi="Arial Bold" w:hint="default"/>
        <w:b/>
        <w:i w:val="0"/>
        <w:sz w:val="24"/>
      </w:rPr>
    </w:lvl>
    <w:lvl w:ilvl="1">
      <w:start w:val="1"/>
      <w:numFmt w:val="upperLetter"/>
      <w:lvlText w:val="%2."/>
      <w:lvlJc w:val="left"/>
      <w:pPr>
        <w:ind w:left="0" w:firstLine="360"/>
      </w:pPr>
      <w:rPr>
        <w:rFonts w:ascii="Times" w:hAnsi="Times"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216B63"/>
    <w:multiLevelType w:val="hybridMultilevel"/>
    <w:tmpl w:val="AC0606EA"/>
    <w:lvl w:ilvl="0" w:tplc="877AC356">
      <w:start w:val="1"/>
      <w:numFmt w:val="upperRoman"/>
      <w:pStyle w:val="TableofFigures"/>
      <w:lvlText w:val="%1."/>
      <w:lvlJc w:val="left"/>
      <w:pPr>
        <w:ind w:left="360" w:hanging="360"/>
      </w:pPr>
      <w:rPr>
        <w:rFonts w:ascii="Verdana" w:hAnsi="Verdana" w:cs="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7739FF"/>
    <w:multiLevelType w:val="hybridMultilevel"/>
    <w:tmpl w:val="58CA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D224D"/>
    <w:multiLevelType w:val="hybridMultilevel"/>
    <w:tmpl w:val="B628C084"/>
    <w:lvl w:ilvl="0" w:tplc="0C5A551A">
      <w:start w:val="1"/>
      <w:numFmt w:val="bullet"/>
      <w:lvlText w:val=""/>
      <w:lvlJc w:val="left"/>
      <w:pPr>
        <w:tabs>
          <w:tab w:val="num" w:pos="1692"/>
        </w:tabs>
        <w:ind w:left="1692"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90751"/>
    <w:multiLevelType w:val="multilevel"/>
    <w:tmpl w:val="3A8C993E"/>
    <w:lvl w:ilvl="0">
      <w:start w:val="1"/>
      <w:numFmt w:val="lowerLetter"/>
      <w:pStyle w:val="ifadindent"/>
      <w:lvlText w:val="(%1)"/>
      <w:lvlJc w:val="left"/>
      <w:pPr>
        <w:tabs>
          <w:tab w:val="num" w:pos="1134"/>
        </w:tabs>
        <w:ind w:left="1134" w:hanging="567"/>
      </w:pPr>
      <w:rPr>
        <w:rFonts w:ascii="Verdana" w:hAnsi="Verdana" w:hint="default"/>
        <w:b w:val="0"/>
        <w:i w:val="0"/>
        <w:sz w:val="20"/>
      </w:rPr>
    </w:lvl>
    <w:lvl w:ilvl="1">
      <w:start w:val="1"/>
      <w:numFmt w:val="lowerRoman"/>
      <w:lvlText w:val="(%2)"/>
      <w:lvlJc w:val="left"/>
      <w:pPr>
        <w:tabs>
          <w:tab w:val="num" w:pos="1701"/>
        </w:tabs>
        <w:ind w:left="1701" w:hanging="567"/>
      </w:pPr>
      <w:rPr>
        <w:rFonts w:ascii="Verdana" w:hAnsi="Verdana" w:hint="default"/>
        <w:b w:val="0"/>
        <w:i w:val="0"/>
        <w:sz w:val="20"/>
      </w:rPr>
    </w:lvl>
    <w:lvl w:ilvl="2">
      <w:start w:val="1"/>
      <w:numFmt w:val="bullet"/>
      <w:lvlText w:val="-"/>
      <w:lvlJc w:val="left"/>
      <w:pPr>
        <w:tabs>
          <w:tab w:val="num" w:pos="1985"/>
        </w:tabs>
        <w:ind w:left="1985" w:hanging="284"/>
      </w:pPr>
      <w:rPr>
        <w:rFonts w:ascii="Verdana" w:hAnsi="Verdana" w:cs="Times New Roman" w:hint="default"/>
        <w:b w:val="0"/>
        <w:i w:val="0"/>
        <w:sz w:val="20"/>
        <w:szCs w:val="28"/>
      </w:rPr>
    </w:lvl>
    <w:lvl w:ilvl="3">
      <w:start w:val="1"/>
      <w:numFmt w:val="bullet"/>
      <w:lvlText w:val="-"/>
      <w:lvlJc w:val="left"/>
      <w:pPr>
        <w:tabs>
          <w:tab w:val="num" w:pos="2268"/>
        </w:tabs>
        <w:ind w:left="2268" w:hanging="567"/>
      </w:pPr>
      <w:rPr>
        <w:rFonts w:ascii="Verdana" w:hAnsi="Verdana" w:cs="Times New Roman" w:hint="default"/>
        <w:szCs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4" w15:restartNumberingAfterBreak="0">
    <w:nsid w:val="3DA92A69"/>
    <w:multiLevelType w:val="hybridMultilevel"/>
    <w:tmpl w:val="92E629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4995EEE"/>
    <w:multiLevelType w:val="hybridMultilevel"/>
    <w:tmpl w:val="51E4231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506D37AA"/>
    <w:multiLevelType w:val="hybridMultilevel"/>
    <w:tmpl w:val="6B6EF9B8"/>
    <w:lvl w:ilvl="0" w:tplc="08090017">
      <w:start w:val="1"/>
      <w:numFmt w:val="lowerLetter"/>
      <w:lvlText w:val="%1)"/>
      <w:lvlJc w:val="left"/>
      <w:pPr>
        <w:ind w:left="4897"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1B25015"/>
    <w:multiLevelType w:val="hybridMultilevel"/>
    <w:tmpl w:val="2A86BC2E"/>
    <w:lvl w:ilvl="0" w:tplc="08090019">
      <w:start w:val="1"/>
      <w:numFmt w:val="lowerLetter"/>
      <w:lvlText w:val="%1."/>
      <w:lvlJc w:val="left"/>
      <w:pPr>
        <w:ind w:left="1287" w:hanging="360"/>
      </w:pPr>
    </w:lvl>
    <w:lvl w:ilvl="1" w:tplc="EB2C8EA4">
      <w:start w:val="1"/>
      <w:numFmt w:val="lowerLetter"/>
      <w:lvlText w:val="(%2)"/>
      <w:lvlJc w:val="left"/>
      <w:pPr>
        <w:ind w:left="2217" w:hanging="57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D6C51DD"/>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5DF66E45"/>
    <w:multiLevelType w:val="hybridMultilevel"/>
    <w:tmpl w:val="766EEE5C"/>
    <w:lvl w:ilvl="0" w:tplc="0152ECE0">
      <w:start w:val="1"/>
      <w:numFmt w:val="upperLetter"/>
      <w:pStyle w:val="Heading2"/>
      <w:lvlText w:val="%1."/>
      <w:lvlJc w:val="right"/>
      <w:pPr>
        <w:tabs>
          <w:tab w:val="num" w:pos="567"/>
        </w:tabs>
        <w:ind w:left="567" w:hanging="278"/>
      </w:pPr>
      <w:rPr>
        <w:rFonts w:ascii="Verdana" w:hAnsi="Verdana" w:cs="Arial" w:hint="default"/>
        <w:b/>
        <w:i w:val="0"/>
        <w:w w:val="1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E2A4903"/>
    <w:multiLevelType w:val="hybridMultilevel"/>
    <w:tmpl w:val="6F569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DC63AF"/>
    <w:multiLevelType w:val="multilevel"/>
    <w:tmpl w:val="0809001D"/>
    <w:styleLink w:val="Heading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555A97"/>
    <w:multiLevelType w:val="hybridMultilevel"/>
    <w:tmpl w:val="311A15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0D0C7F"/>
    <w:multiLevelType w:val="hybridMultilevel"/>
    <w:tmpl w:val="47CCBEC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1D53C54"/>
    <w:multiLevelType w:val="hybridMultilevel"/>
    <w:tmpl w:val="35624D8E"/>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25" w15:restartNumberingAfterBreak="0">
    <w:nsid w:val="71EB24E8"/>
    <w:multiLevelType w:val="hybridMultilevel"/>
    <w:tmpl w:val="987C61C4"/>
    <w:lvl w:ilvl="0" w:tplc="03A8B19E">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76414"/>
    <w:multiLevelType w:val="hybridMultilevel"/>
    <w:tmpl w:val="390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3218B"/>
    <w:multiLevelType w:val="hybridMultilevel"/>
    <w:tmpl w:val="246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01816"/>
    <w:multiLevelType w:val="hybridMultilevel"/>
    <w:tmpl w:val="0C64A2EE"/>
    <w:lvl w:ilvl="0" w:tplc="BFB62F46">
      <w:start w:val="1"/>
      <w:numFmt w:val="bullet"/>
      <w:pStyle w:val="bullets"/>
      <w:lvlText w:val=""/>
      <w:lvlJc w:val="left"/>
      <w:pPr>
        <w:tabs>
          <w:tab w:val="num" w:pos="1758"/>
        </w:tabs>
        <w:ind w:left="1758" w:hanging="624"/>
      </w:pPr>
      <w:rPr>
        <w:rFonts w:ascii="Symbol" w:hAnsi="Symbol" w:hint="default"/>
      </w:rPr>
    </w:lvl>
    <w:lvl w:ilvl="1" w:tplc="08090003" w:tentative="1">
      <w:start w:val="1"/>
      <w:numFmt w:val="bullet"/>
      <w:lvlText w:val="o"/>
      <w:lvlJc w:val="left"/>
      <w:pPr>
        <w:tabs>
          <w:tab w:val="num" w:pos="703"/>
        </w:tabs>
        <w:ind w:left="703" w:hanging="360"/>
      </w:pPr>
      <w:rPr>
        <w:rFonts w:ascii="Courier New" w:hAnsi="Courier New" w:cs="Courier New" w:hint="default"/>
      </w:rPr>
    </w:lvl>
    <w:lvl w:ilvl="2" w:tplc="08090005" w:tentative="1">
      <w:start w:val="1"/>
      <w:numFmt w:val="bullet"/>
      <w:lvlText w:val=""/>
      <w:lvlJc w:val="left"/>
      <w:pPr>
        <w:tabs>
          <w:tab w:val="num" w:pos="1423"/>
        </w:tabs>
        <w:ind w:left="1423" w:hanging="360"/>
      </w:pPr>
      <w:rPr>
        <w:rFonts w:ascii="Wingdings" w:hAnsi="Wingdings" w:hint="default"/>
      </w:rPr>
    </w:lvl>
    <w:lvl w:ilvl="3" w:tplc="08090001" w:tentative="1">
      <w:start w:val="1"/>
      <w:numFmt w:val="bullet"/>
      <w:lvlText w:val=""/>
      <w:lvlJc w:val="left"/>
      <w:pPr>
        <w:tabs>
          <w:tab w:val="num" w:pos="2143"/>
        </w:tabs>
        <w:ind w:left="2143" w:hanging="360"/>
      </w:pPr>
      <w:rPr>
        <w:rFonts w:ascii="Symbol" w:hAnsi="Symbol" w:hint="default"/>
      </w:rPr>
    </w:lvl>
    <w:lvl w:ilvl="4" w:tplc="08090003" w:tentative="1">
      <w:start w:val="1"/>
      <w:numFmt w:val="bullet"/>
      <w:lvlText w:val="o"/>
      <w:lvlJc w:val="left"/>
      <w:pPr>
        <w:tabs>
          <w:tab w:val="num" w:pos="2863"/>
        </w:tabs>
        <w:ind w:left="2863" w:hanging="360"/>
      </w:pPr>
      <w:rPr>
        <w:rFonts w:ascii="Courier New" w:hAnsi="Courier New" w:cs="Courier New" w:hint="default"/>
      </w:rPr>
    </w:lvl>
    <w:lvl w:ilvl="5" w:tplc="08090005" w:tentative="1">
      <w:start w:val="1"/>
      <w:numFmt w:val="bullet"/>
      <w:lvlText w:val=""/>
      <w:lvlJc w:val="left"/>
      <w:pPr>
        <w:tabs>
          <w:tab w:val="num" w:pos="3583"/>
        </w:tabs>
        <w:ind w:left="3583" w:hanging="360"/>
      </w:pPr>
      <w:rPr>
        <w:rFonts w:ascii="Wingdings" w:hAnsi="Wingdings" w:hint="default"/>
      </w:rPr>
    </w:lvl>
    <w:lvl w:ilvl="6" w:tplc="08090001" w:tentative="1">
      <w:start w:val="1"/>
      <w:numFmt w:val="bullet"/>
      <w:lvlText w:val=""/>
      <w:lvlJc w:val="left"/>
      <w:pPr>
        <w:tabs>
          <w:tab w:val="num" w:pos="4303"/>
        </w:tabs>
        <w:ind w:left="4303" w:hanging="360"/>
      </w:pPr>
      <w:rPr>
        <w:rFonts w:ascii="Symbol" w:hAnsi="Symbol" w:hint="default"/>
      </w:rPr>
    </w:lvl>
    <w:lvl w:ilvl="7" w:tplc="08090003" w:tentative="1">
      <w:start w:val="1"/>
      <w:numFmt w:val="bullet"/>
      <w:lvlText w:val="o"/>
      <w:lvlJc w:val="left"/>
      <w:pPr>
        <w:tabs>
          <w:tab w:val="num" w:pos="5023"/>
        </w:tabs>
        <w:ind w:left="5023" w:hanging="360"/>
      </w:pPr>
      <w:rPr>
        <w:rFonts w:ascii="Courier New" w:hAnsi="Courier New" w:cs="Courier New" w:hint="default"/>
      </w:rPr>
    </w:lvl>
    <w:lvl w:ilvl="8" w:tplc="08090005" w:tentative="1">
      <w:start w:val="1"/>
      <w:numFmt w:val="bullet"/>
      <w:lvlText w:val=""/>
      <w:lvlJc w:val="left"/>
      <w:pPr>
        <w:tabs>
          <w:tab w:val="num" w:pos="5743"/>
        </w:tabs>
        <w:ind w:left="5743" w:hanging="360"/>
      </w:pPr>
      <w:rPr>
        <w:rFonts w:ascii="Wingdings" w:hAnsi="Wingdings" w:hint="default"/>
      </w:rPr>
    </w:lvl>
  </w:abstractNum>
  <w:num w:numId="1">
    <w:abstractNumId w:val="28"/>
  </w:num>
  <w:num w:numId="2">
    <w:abstractNumId w:val="18"/>
  </w:num>
  <w:num w:numId="3">
    <w:abstractNumId w:val="13"/>
  </w:num>
  <w:num w:numId="4">
    <w:abstractNumId w:val="10"/>
  </w:num>
  <w:num w:numId="5">
    <w:abstractNumId w:val="2"/>
  </w:num>
  <w:num w:numId="6">
    <w:abstractNumId w:val="8"/>
  </w:num>
  <w:num w:numId="7">
    <w:abstractNumId w:val="1"/>
  </w:num>
  <w:num w:numId="8">
    <w:abstractNumId w:val="6"/>
  </w:num>
  <w:num w:numId="9">
    <w:abstractNumId w:val="12"/>
  </w:num>
  <w:num w:numId="10">
    <w:abstractNumId w:val="3"/>
  </w:num>
  <w:num w:numId="11">
    <w:abstractNumId w:val="19"/>
  </w:num>
  <w:num w:numId="12">
    <w:abstractNumId w:val="4"/>
  </w:num>
  <w:num w:numId="13">
    <w:abstractNumId w:val="17"/>
  </w:num>
  <w:num w:numId="14">
    <w:abstractNumId w:val="9"/>
  </w:num>
  <w:num w:numId="15">
    <w:abstractNumId w:val="15"/>
  </w:num>
  <w:num w:numId="16">
    <w:abstractNumId w:val="22"/>
  </w:num>
  <w:num w:numId="17">
    <w:abstractNumId w:val="21"/>
  </w:num>
  <w:num w:numId="18">
    <w:abstractNumId w:val="7"/>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6"/>
  </w:num>
  <w:num w:numId="24">
    <w:abstractNumId w:val="27"/>
  </w:num>
  <w:num w:numId="25">
    <w:abstractNumId w:val="14"/>
  </w:num>
  <w:num w:numId="26">
    <w:abstractNumId w:val="25"/>
  </w:num>
  <w:num w:numId="27">
    <w:abstractNumId w:val="5"/>
  </w:num>
  <w:num w:numId="28">
    <w:abstractNumId w:val="16"/>
  </w:num>
  <w:num w:numId="29">
    <w:abstractNumId w:val="23"/>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8" w:dllVersion="513" w:checkStyle="1"/>
  <w:activeWritingStyle w:appName="MSWord" w:lang="it-IT" w:vendorID="3" w:dllVersion="517"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567"/>
  <w:drawingGridHorizontalSpacing w:val="181"/>
  <w:drawingGridVerticalSpacing w:val="181"/>
  <w:displayHorizontalDrawingGridEvery w:val="2"/>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34"/>
    <w:rsid w:val="00000032"/>
    <w:rsid w:val="00000840"/>
    <w:rsid w:val="00004394"/>
    <w:rsid w:val="00005536"/>
    <w:rsid w:val="00006360"/>
    <w:rsid w:val="00006968"/>
    <w:rsid w:val="00006C65"/>
    <w:rsid w:val="00007604"/>
    <w:rsid w:val="000106FA"/>
    <w:rsid w:val="0001181C"/>
    <w:rsid w:val="000129C7"/>
    <w:rsid w:val="0001391F"/>
    <w:rsid w:val="000177A6"/>
    <w:rsid w:val="00021AB7"/>
    <w:rsid w:val="00021F21"/>
    <w:rsid w:val="000230FC"/>
    <w:rsid w:val="000236D2"/>
    <w:rsid w:val="00024146"/>
    <w:rsid w:val="00024D0F"/>
    <w:rsid w:val="000270ED"/>
    <w:rsid w:val="0002734E"/>
    <w:rsid w:val="0002771E"/>
    <w:rsid w:val="00027F08"/>
    <w:rsid w:val="00030721"/>
    <w:rsid w:val="00033508"/>
    <w:rsid w:val="00034B01"/>
    <w:rsid w:val="00037815"/>
    <w:rsid w:val="0004043D"/>
    <w:rsid w:val="000408A4"/>
    <w:rsid w:val="0004099B"/>
    <w:rsid w:val="00041E74"/>
    <w:rsid w:val="00042577"/>
    <w:rsid w:val="00042B64"/>
    <w:rsid w:val="00044292"/>
    <w:rsid w:val="00044F6B"/>
    <w:rsid w:val="0004662F"/>
    <w:rsid w:val="000522FE"/>
    <w:rsid w:val="0005401E"/>
    <w:rsid w:val="000541D9"/>
    <w:rsid w:val="00055D24"/>
    <w:rsid w:val="0006014C"/>
    <w:rsid w:val="00060752"/>
    <w:rsid w:val="000616F2"/>
    <w:rsid w:val="000647AB"/>
    <w:rsid w:val="00064B5A"/>
    <w:rsid w:val="000654CD"/>
    <w:rsid w:val="00065CC5"/>
    <w:rsid w:val="0006789E"/>
    <w:rsid w:val="0007092D"/>
    <w:rsid w:val="00070A80"/>
    <w:rsid w:val="000726E4"/>
    <w:rsid w:val="000758EE"/>
    <w:rsid w:val="0007606B"/>
    <w:rsid w:val="00076251"/>
    <w:rsid w:val="00077377"/>
    <w:rsid w:val="0007793C"/>
    <w:rsid w:val="00077A36"/>
    <w:rsid w:val="0008016F"/>
    <w:rsid w:val="00081EAD"/>
    <w:rsid w:val="00082A59"/>
    <w:rsid w:val="0008355B"/>
    <w:rsid w:val="00085F25"/>
    <w:rsid w:val="0008689D"/>
    <w:rsid w:val="00086E4E"/>
    <w:rsid w:val="00090625"/>
    <w:rsid w:val="000908E3"/>
    <w:rsid w:val="00091141"/>
    <w:rsid w:val="00093D76"/>
    <w:rsid w:val="000949C5"/>
    <w:rsid w:val="00097D06"/>
    <w:rsid w:val="000A0104"/>
    <w:rsid w:val="000A081F"/>
    <w:rsid w:val="000A0CD6"/>
    <w:rsid w:val="000A13F5"/>
    <w:rsid w:val="000A19D1"/>
    <w:rsid w:val="000A21E3"/>
    <w:rsid w:val="000A25D8"/>
    <w:rsid w:val="000A2D05"/>
    <w:rsid w:val="000A4F38"/>
    <w:rsid w:val="000A5D41"/>
    <w:rsid w:val="000A5DAC"/>
    <w:rsid w:val="000A6809"/>
    <w:rsid w:val="000A794C"/>
    <w:rsid w:val="000B1635"/>
    <w:rsid w:val="000B403E"/>
    <w:rsid w:val="000B6B78"/>
    <w:rsid w:val="000B6ED6"/>
    <w:rsid w:val="000B6EEE"/>
    <w:rsid w:val="000B7FC9"/>
    <w:rsid w:val="000C156E"/>
    <w:rsid w:val="000C35DE"/>
    <w:rsid w:val="000C6EF9"/>
    <w:rsid w:val="000C71F5"/>
    <w:rsid w:val="000D004D"/>
    <w:rsid w:val="000D0468"/>
    <w:rsid w:val="000D2D8C"/>
    <w:rsid w:val="000D3059"/>
    <w:rsid w:val="000D3CD0"/>
    <w:rsid w:val="000D468F"/>
    <w:rsid w:val="000D7B27"/>
    <w:rsid w:val="000E0172"/>
    <w:rsid w:val="000E09B0"/>
    <w:rsid w:val="000E1284"/>
    <w:rsid w:val="000E427D"/>
    <w:rsid w:val="000E4B96"/>
    <w:rsid w:val="000E62B1"/>
    <w:rsid w:val="000E798A"/>
    <w:rsid w:val="000F0A39"/>
    <w:rsid w:val="000F0D75"/>
    <w:rsid w:val="000F6D0A"/>
    <w:rsid w:val="000F77E6"/>
    <w:rsid w:val="001067D4"/>
    <w:rsid w:val="00106B09"/>
    <w:rsid w:val="00110BCE"/>
    <w:rsid w:val="001124C3"/>
    <w:rsid w:val="00112C8F"/>
    <w:rsid w:val="00114500"/>
    <w:rsid w:val="001147AA"/>
    <w:rsid w:val="00115184"/>
    <w:rsid w:val="001172A7"/>
    <w:rsid w:val="001172E0"/>
    <w:rsid w:val="001208D4"/>
    <w:rsid w:val="00121737"/>
    <w:rsid w:val="0012255E"/>
    <w:rsid w:val="00123F14"/>
    <w:rsid w:val="001240C5"/>
    <w:rsid w:val="001242F4"/>
    <w:rsid w:val="0012699C"/>
    <w:rsid w:val="001276C4"/>
    <w:rsid w:val="00127BA2"/>
    <w:rsid w:val="00132275"/>
    <w:rsid w:val="00132333"/>
    <w:rsid w:val="00136A63"/>
    <w:rsid w:val="00140BB3"/>
    <w:rsid w:val="00140E91"/>
    <w:rsid w:val="00141D8E"/>
    <w:rsid w:val="00141DFB"/>
    <w:rsid w:val="00141E80"/>
    <w:rsid w:val="00142CB0"/>
    <w:rsid w:val="00142E69"/>
    <w:rsid w:val="00144463"/>
    <w:rsid w:val="00144D53"/>
    <w:rsid w:val="00145F19"/>
    <w:rsid w:val="001470AC"/>
    <w:rsid w:val="00150FB3"/>
    <w:rsid w:val="00154274"/>
    <w:rsid w:val="0015513F"/>
    <w:rsid w:val="0015538F"/>
    <w:rsid w:val="00156FCF"/>
    <w:rsid w:val="001619D8"/>
    <w:rsid w:val="00161FB1"/>
    <w:rsid w:val="00164DE8"/>
    <w:rsid w:val="00165C4B"/>
    <w:rsid w:val="001671CF"/>
    <w:rsid w:val="001702D0"/>
    <w:rsid w:val="001727CB"/>
    <w:rsid w:val="00173479"/>
    <w:rsid w:val="00175F06"/>
    <w:rsid w:val="001768B3"/>
    <w:rsid w:val="00177FA7"/>
    <w:rsid w:val="00180E63"/>
    <w:rsid w:val="00182251"/>
    <w:rsid w:val="00184998"/>
    <w:rsid w:val="0018625E"/>
    <w:rsid w:val="0018707E"/>
    <w:rsid w:val="00190853"/>
    <w:rsid w:val="001934EC"/>
    <w:rsid w:val="00194498"/>
    <w:rsid w:val="00194C7B"/>
    <w:rsid w:val="001962C1"/>
    <w:rsid w:val="00196650"/>
    <w:rsid w:val="001972D4"/>
    <w:rsid w:val="001974B1"/>
    <w:rsid w:val="00197A6E"/>
    <w:rsid w:val="001A0D9B"/>
    <w:rsid w:val="001A1E22"/>
    <w:rsid w:val="001A2053"/>
    <w:rsid w:val="001A4577"/>
    <w:rsid w:val="001A67F8"/>
    <w:rsid w:val="001B009D"/>
    <w:rsid w:val="001B0CCC"/>
    <w:rsid w:val="001B35D2"/>
    <w:rsid w:val="001B3693"/>
    <w:rsid w:val="001B3719"/>
    <w:rsid w:val="001B49C5"/>
    <w:rsid w:val="001B53D7"/>
    <w:rsid w:val="001B765B"/>
    <w:rsid w:val="001C0D48"/>
    <w:rsid w:val="001C1D1F"/>
    <w:rsid w:val="001C2A19"/>
    <w:rsid w:val="001C2E74"/>
    <w:rsid w:val="001C4030"/>
    <w:rsid w:val="001C4C00"/>
    <w:rsid w:val="001C4FE4"/>
    <w:rsid w:val="001C5A82"/>
    <w:rsid w:val="001C68F6"/>
    <w:rsid w:val="001C773E"/>
    <w:rsid w:val="001D0824"/>
    <w:rsid w:val="001D1CB9"/>
    <w:rsid w:val="001D2DEA"/>
    <w:rsid w:val="001D3591"/>
    <w:rsid w:val="001D3ED2"/>
    <w:rsid w:val="001D4C27"/>
    <w:rsid w:val="001D5278"/>
    <w:rsid w:val="001D6021"/>
    <w:rsid w:val="001D6424"/>
    <w:rsid w:val="001D6BAC"/>
    <w:rsid w:val="001D797A"/>
    <w:rsid w:val="001D7E89"/>
    <w:rsid w:val="001E187A"/>
    <w:rsid w:val="001E1A63"/>
    <w:rsid w:val="001E4FB7"/>
    <w:rsid w:val="001E53FE"/>
    <w:rsid w:val="001F0F90"/>
    <w:rsid w:val="001F1FE8"/>
    <w:rsid w:val="001F4747"/>
    <w:rsid w:val="001F5780"/>
    <w:rsid w:val="001F5815"/>
    <w:rsid w:val="001F62A1"/>
    <w:rsid w:val="00206067"/>
    <w:rsid w:val="00206748"/>
    <w:rsid w:val="00210BF5"/>
    <w:rsid w:val="002110EF"/>
    <w:rsid w:val="00211909"/>
    <w:rsid w:val="00211E43"/>
    <w:rsid w:val="002136A4"/>
    <w:rsid w:val="002138F8"/>
    <w:rsid w:val="002142DA"/>
    <w:rsid w:val="00214C55"/>
    <w:rsid w:val="0021614D"/>
    <w:rsid w:val="00216FC8"/>
    <w:rsid w:val="00221D8F"/>
    <w:rsid w:val="0022205A"/>
    <w:rsid w:val="00222C5D"/>
    <w:rsid w:val="00222CC0"/>
    <w:rsid w:val="00224997"/>
    <w:rsid w:val="00225538"/>
    <w:rsid w:val="0022698F"/>
    <w:rsid w:val="0023030E"/>
    <w:rsid w:val="00230327"/>
    <w:rsid w:val="00231A78"/>
    <w:rsid w:val="00234507"/>
    <w:rsid w:val="002359EE"/>
    <w:rsid w:val="002414DE"/>
    <w:rsid w:val="00242991"/>
    <w:rsid w:val="002437B9"/>
    <w:rsid w:val="00243AA0"/>
    <w:rsid w:val="002448D2"/>
    <w:rsid w:val="00245F4C"/>
    <w:rsid w:val="0024669D"/>
    <w:rsid w:val="00250F81"/>
    <w:rsid w:val="0025118A"/>
    <w:rsid w:val="0025131C"/>
    <w:rsid w:val="002515EB"/>
    <w:rsid w:val="00255437"/>
    <w:rsid w:val="002564C6"/>
    <w:rsid w:val="00256B27"/>
    <w:rsid w:val="00261D39"/>
    <w:rsid w:val="00262567"/>
    <w:rsid w:val="00262832"/>
    <w:rsid w:val="00262EAB"/>
    <w:rsid w:val="002639D7"/>
    <w:rsid w:val="00264EC1"/>
    <w:rsid w:val="00265A31"/>
    <w:rsid w:val="002703B2"/>
    <w:rsid w:val="00271DEE"/>
    <w:rsid w:val="002724FA"/>
    <w:rsid w:val="002771F5"/>
    <w:rsid w:val="00280585"/>
    <w:rsid w:val="00280F1B"/>
    <w:rsid w:val="002810B2"/>
    <w:rsid w:val="00281C3C"/>
    <w:rsid w:val="002840CB"/>
    <w:rsid w:val="002840CF"/>
    <w:rsid w:val="00284152"/>
    <w:rsid w:val="002841C3"/>
    <w:rsid w:val="0028570C"/>
    <w:rsid w:val="00286791"/>
    <w:rsid w:val="002867F4"/>
    <w:rsid w:val="002878AB"/>
    <w:rsid w:val="00290013"/>
    <w:rsid w:val="002908A5"/>
    <w:rsid w:val="00290904"/>
    <w:rsid w:val="002912BA"/>
    <w:rsid w:val="00291765"/>
    <w:rsid w:val="00295AF2"/>
    <w:rsid w:val="00296F72"/>
    <w:rsid w:val="002A0788"/>
    <w:rsid w:val="002A3B35"/>
    <w:rsid w:val="002A473A"/>
    <w:rsid w:val="002A4D59"/>
    <w:rsid w:val="002A50DA"/>
    <w:rsid w:val="002A60F4"/>
    <w:rsid w:val="002A745B"/>
    <w:rsid w:val="002B180D"/>
    <w:rsid w:val="002B2359"/>
    <w:rsid w:val="002B7262"/>
    <w:rsid w:val="002C0A17"/>
    <w:rsid w:val="002C19B8"/>
    <w:rsid w:val="002C231E"/>
    <w:rsid w:val="002C2880"/>
    <w:rsid w:val="002C3B77"/>
    <w:rsid w:val="002C582B"/>
    <w:rsid w:val="002C65BE"/>
    <w:rsid w:val="002C6C74"/>
    <w:rsid w:val="002C73A9"/>
    <w:rsid w:val="002D397E"/>
    <w:rsid w:val="002D5836"/>
    <w:rsid w:val="002E16C6"/>
    <w:rsid w:val="002E19A5"/>
    <w:rsid w:val="002E23C1"/>
    <w:rsid w:val="002E3EE3"/>
    <w:rsid w:val="002E422F"/>
    <w:rsid w:val="002E4EB2"/>
    <w:rsid w:val="002E5262"/>
    <w:rsid w:val="002E6A41"/>
    <w:rsid w:val="002E6E7A"/>
    <w:rsid w:val="002F062E"/>
    <w:rsid w:val="002F0EDC"/>
    <w:rsid w:val="002F106E"/>
    <w:rsid w:val="002F1DA2"/>
    <w:rsid w:val="002F30EF"/>
    <w:rsid w:val="002F3190"/>
    <w:rsid w:val="002F7B3F"/>
    <w:rsid w:val="0030049B"/>
    <w:rsid w:val="00302D9E"/>
    <w:rsid w:val="00303033"/>
    <w:rsid w:val="003030F4"/>
    <w:rsid w:val="00303577"/>
    <w:rsid w:val="003049DB"/>
    <w:rsid w:val="0030544A"/>
    <w:rsid w:val="00305759"/>
    <w:rsid w:val="0030629D"/>
    <w:rsid w:val="00307C22"/>
    <w:rsid w:val="003159B7"/>
    <w:rsid w:val="003172EC"/>
    <w:rsid w:val="00317392"/>
    <w:rsid w:val="003179A4"/>
    <w:rsid w:val="00317CF8"/>
    <w:rsid w:val="00322ABC"/>
    <w:rsid w:val="0032385A"/>
    <w:rsid w:val="00325E90"/>
    <w:rsid w:val="00326788"/>
    <w:rsid w:val="003275F3"/>
    <w:rsid w:val="00327993"/>
    <w:rsid w:val="00330A01"/>
    <w:rsid w:val="00330F19"/>
    <w:rsid w:val="00331FF9"/>
    <w:rsid w:val="00332BEA"/>
    <w:rsid w:val="003350A8"/>
    <w:rsid w:val="003352D1"/>
    <w:rsid w:val="003407EE"/>
    <w:rsid w:val="0034199E"/>
    <w:rsid w:val="00342268"/>
    <w:rsid w:val="003434E7"/>
    <w:rsid w:val="00343706"/>
    <w:rsid w:val="00344720"/>
    <w:rsid w:val="003470AE"/>
    <w:rsid w:val="00351BBB"/>
    <w:rsid w:val="00351FCA"/>
    <w:rsid w:val="0035232B"/>
    <w:rsid w:val="0035241C"/>
    <w:rsid w:val="00356E82"/>
    <w:rsid w:val="003573E3"/>
    <w:rsid w:val="00361224"/>
    <w:rsid w:val="0036166A"/>
    <w:rsid w:val="00363CD5"/>
    <w:rsid w:val="00366B8B"/>
    <w:rsid w:val="00367275"/>
    <w:rsid w:val="0036731C"/>
    <w:rsid w:val="00367A52"/>
    <w:rsid w:val="00370BD9"/>
    <w:rsid w:val="00370C6D"/>
    <w:rsid w:val="00371C91"/>
    <w:rsid w:val="0037223E"/>
    <w:rsid w:val="00373170"/>
    <w:rsid w:val="003735C9"/>
    <w:rsid w:val="00373C86"/>
    <w:rsid w:val="00374DDD"/>
    <w:rsid w:val="00376E13"/>
    <w:rsid w:val="0038035E"/>
    <w:rsid w:val="00381687"/>
    <w:rsid w:val="00382000"/>
    <w:rsid w:val="00382400"/>
    <w:rsid w:val="00385D21"/>
    <w:rsid w:val="003862CD"/>
    <w:rsid w:val="00386EF5"/>
    <w:rsid w:val="0039000E"/>
    <w:rsid w:val="003909E8"/>
    <w:rsid w:val="00391BC7"/>
    <w:rsid w:val="00393468"/>
    <w:rsid w:val="00394501"/>
    <w:rsid w:val="0039565A"/>
    <w:rsid w:val="003A196C"/>
    <w:rsid w:val="003A220D"/>
    <w:rsid w:val="003A36E4"/>
    <w:rsid w:val="003A39EF"/>
    <w:rsid w:val="003A503B"/>
    <w:rsid w:val="003A7833"/>
    <w:rsid w:val="003B0CCE"/>
    <w:rsid w:val="003B14C3"/>
    <w:rsid w:val="003B3760"/>
    <w:rsid w:val="003B52BD"/>
    <w:rsid w:val="003B58C1"/>
    <w:rsid w:val="003B69AC"/>
    <w:rsid w:val="003B704B"/>
    <w:rsid w:val="003C1721"/>
    <w:rsid w:val="003C1E6E"/>
    <w:rsid w:val="003C22BF"/>
    <w:rsid w:val="003C63CF"/>
    <w:rsid w:val="003C69A9"/>
    <w:rsid w:val="003C7081"/>
    <w:rsid w:val="003C7D55"/>
    <w:rsid w:val="003D1010"/>
    <w:rsid w:val="003D11AF"/>
    <w:rsid w:val="003D146F"/>
    <w:rsid w:val="003D2957"/>
    <w:rsid w:val="003D3123"/>
    <w:rsid w:val="003D3AE1"/>
    <w:rsid w:val="003D3ED4"/>
    <w:rsid w:val="003D4270"/>
    <w:rsid w:val="003D4E4A"/>
    <w:rsid w:val="003D59E7"/>
    <w:rsid w:val="003D73BE"/>
    <w:rsid w:val="003E023D"/>
    <w:rsid w:val="003E30B8"/>
    <w:rsid w:val="003E31B4"/>
    <w:rsid w:val="003E6427"/>
    <w:rsid w:val="003F0050"/>
    <w:rsid w:val="003F0D54"/>
    <w:rsid w:val="003F1381"/>
    <w:rsid w:val="003F13F5"/>
    <w:rsid w:val="003F226E"/>
    <w:rsid w:val="003F3CC9"/>
    <w:rsid w:val="003F3D28"/>
    <w:rsid w:val="003F42E2"/>
    <w:rsid w:val="003F4309"/>
    <w:rsid w:val="003F4E43"/>
    <w:rsid w:val="00400200"/>
    <w:rsid w:val="0040130B"/>
    <w:rsid w:val="00401CF5"/>
    <w:rsid w:val="004052CB"/>
    <w:rsid w:val="004074EE"/>
    <w:rsid w:val="00411330"/>
    <w:rsid w:val="00412344"/>
    <w:rsid w:val="004139C4"/>
    <w:rsid w:val="00413D6C"/>
    <w:rsid w:val="00413DBF"/>
    <w:rsid w:val="004144E4"/>
    <w:rsid w:val="00420128"/>
    <w:rsid w:val="004202CE"/>
    <w:rsid w:val="004224EB"/>
    <w:rsid w:val="004245B4"/>
    <w:rsid w:val="00427A4C"/>
    <w:rsid w:val="00427DA4"/>
    <w:rsid w:val="004318DF"/>
    <w:rsid w:val="00434CF2"/>
    <w:rsid w:val="00436D0D"/>
    <w:rsid w:val="00437082"/>
    <w:rsid w:val="00437515"/>
    <w:rsid w:val="00437920"/>
    <w:rsid w:val="0044098D"/>
    <w:rsid w:val="00442765"/>
    <w:rsid w:val="00444959"/>
    <w:rsid w:val="00444BAD"/>
    <w:rsid w:val="004456EC"/>
    <w:rsid w:val="004459E9"/>
    <w:rsid w:val="00447906"/>
    <w:rsid w:val="004501B0"/>
    <w:rsid w:val="00450BC6"/>
    <w:rsid w:val="00451750"/>
    <w:rsid w:val="004522C3"/>
    <w:rsid w:val="0045231A"/>
    <w:rsid w:val="00453D5E"/>
    <w:rsid w:val="00454298"/>
    <w:rsid w:val="00460399"/>
    <w:rsid w:val="004624B2"/>
    <w:rsid w:val="004628BE"/>
    <w:rsid w:val="0046387B"/>
    <w:rsid w:val="00463A45"/>
    <w:rsid w:val="00466186"/>
    <w:rsid w:val="00470E37"/>
    <w:rsid w:val="00473040"/>
    <w:rsid w:val="00473EB8"/>
    <w:rsid w:val="00475035"/>
    <w:rsid w:val="00477F43"/>
    <w:rsid w:val="00480019"/>
    <w:rsid w:val="00480DE5"/>
    <w:rsid w:val="00480FBC"/>
    <w:rsid w:val="00482046"/>
    <w:rsid w:val="00483355"/>
    <w:rsid w:val="00486432"/>
    <w:rsid w:val="00486BE1"/>
    <w:rsid w:val="00487109"/>
    <w:rsid w:val="00487319"/>
    <w:rsid w:val="0049117A"/>
    <w:rsid w:val="0049469F"/>
    <w:rsid w:val="00495480"/>
    <w:rsid w:val="004A0966"/>
    <w:rsid w:val="004A1135"/>
    <w:rsid w:val="004A2605"/>
    <w:rsid w:val="004A4132"/>
    <w:rsid w:val="004A5ABB"/>
    <w:rsid w:val="004A7F86"/>
    <w:rsid w:val="004B06FF"/>
    <w:rsid w:val="004B1F60"/>
    <w:rsid w:val="004B20C6"/>
    <w:rsid w:val="004B517C"/>
    <w:rsid w:val="004B5FD0"/>
    <w:rsid w:val="004C01A7"/>
    <w:rsid w:val="004C1A25"/>
    <w:rsid w:val="004C3F1A"/>
    <w:rsid w:val="004C51DD"/>
    <w:rsid w:val="004C5CDA"/>
    <w:rsid w:val="004C7537"/>
    <w:rsid w:val="004C7E78"/>
    <w:rsid w:val="004D0178"/>
    <w:rsid w:val="004D0EEB"/>
    <w:rsid w:val="004D4A40"/>
    <w:rsid w:val="004D5228"/>
    <w:rsid w:val="004D758B"/>
    <w:rsid w:val="004E060E"/>
    <w:rsid w:val="004E2D1E"/>
    <w:rsid w:val="004E30E6"/>
    <w:rsid w:val="004E33C5"/>
    <w:rsid w:val="004E4962"/>
    <w:rsid w:val="004E56F2"/>
    <w:rsid w:val="004E6815"/>
    <w:rsid w:val="004E7A41"/>
    <w:rsid w:val="004F0196"/>
    <w:rsid w:val="004F1D47"/>
    <w:rsid w:val="004F21D1"/>
    <w:rsid w:val="004F283E"/>
    <w:rsid w:val="004F2B4B"/>
    <w:rsid w:val="004F4267"/>
    <w:rsid w:val="004F4873"/>
    <w:rsid w:val="004F5637"/>
    <w:rsid w:val="004F65F4"/>
    <w:rsid w:val="004F6AF4"/>
    <w:rsid w:val="00500369"/>
    <w:rsid w:val="00502C8B"/>
    <w:rsid w:val="00505A10"/>
    <w:rsid w:val="0050612D"/>
    <w:rsid w:val="005073C8"/>
    <w:rsid w:val="00512B8F"/>
    <w:rsid w:val="00513914"/>
    <w:rsid w:val="005155C9"/>
    <w:rsid w:val="00516569"/>
    <w:rsid w:val="00521C63"/>
    <w:rsid w:val="0052220C"/>
    <w:rsid w:val="00523ACE"/>
    <w:rsid w:val="00526BBB"/>
    <w:rsid w:val="00532CB6"/>
    <w:rsid w:val="00533B85"/>
    <w:rsid w:val="00535CAB"/>
    <w:rsid w:val="005367B8"/>
    <w:rsid w:val="00536E32"/>
    <w:rsid w:val="00537A87"/>
    <w:rsid w:val="005407E6"/>
    <w:rsid w:val="00542599"/>
    <w:rsid w:val="00542A8D"/>
    <w:rsid w:val="00543547"/>
    <w:rsid w:val="00544FDC"/>
    <w:rsid w:val="0054718D"/>
    <w:rsid w:val="00547631"/>
    <w:rsid w:val="0055027A"/>
    <w:rsid w:val="00550B9D"/>
    <w:rsid w:val="005517AE"/>
    <w:rsid w:val="00552BD8"/>
    <w:rsid w:val="005530EC"/>
    <w:rsid w:val="005538F6"/>
    <w:rsid w:val="0055425A"/>
    <w:rsid w:val="00554894"/>
    <w:rsid w:val="0055515D"/>
    <w:rsid w:val="0055540B"/>
    <w:rsid w:val="005578A7"/>
    <w:rsid w:val="00557A29"/>
    <w:rsid w:val="005609FC"/>
    <w:rsid w:val="005613D2"/>
    <w:rsid w:val="0056286E"/>
    <w:rsid w:val="00563713"/>
    <w:rsid w:val="00563966"/>
    <w:rsid w:val="00563A73"/>
    <w:rsid w:val="00564DF8"/>
    <w:rsid w:val="005667E5"/>
    <w:rsid w:val="005676DC"/>
    <w:rsid w:val="005704FC"/>
    <w:rsid w:val="00572DF6"/>
    <w:rsid w:val="00572E5D"/>
    <w:rsid w:val="005750C4"/>
    <w:rsid w:val="00575AD6"/>
    <w:rsid w:val="00580B98"/>
    <w:rsid w:val="00581D03"/>
    <w:rsid w:val="005828DA"/>
    <w:rsid w:val="00582ED5"/>
    <w:rsid w:val="00583A6E"/>
    <w:rsid w:val="0058497C"/>
    <w:rsid w:val="00587B02"/>
    <w:rsid w:val="00592B30"/>
    <w:rsid w:val="0059478F"/>
    <w:rsid w:val="005951A5"/>
    <w:rsid w:val="00596C07"/>
    <w:rsid w:val="005A09DC"/>
    <w:rsid w:val="005A21EC"/>
    <w:rsid w:val="005A294F"/>
    <w:rsid w:val="005A36A4"/>
    <w:rsid w:val="005A4048"/>
    <w:rsid w:val="005B0DE4"/>
    <w:rsid w:val="005B1206"/>
    <w:rsid w:val="005B423C"/>
    <w:rsid w:val="005B551D"/>
    <w:rsid w:val="005B5600"/>
    <w:rsid w:val="005B67CE"/>
    <w:rsid w:val="005B6B16"/>
    <w:rsid w:val="005B6F84"/>
    <w:rsid w:val="005C07E4"/>
    <w:rsid w:val="005C19F5"/>
    <w:rsid w:val="005D3335"/>
    <w:rsid w:val="005D4F86"/>
    <w:rsid w:val="005D5C08"/>
    <w:rsid w:val="005D627A"/>
    <w:rsid w:val="005D6382"/>
    <w:rsid w:val="005D70A5"/>
    <w:rsid w:val="005E1A56"/>
    <w:rsid w:val="005E2164"/>
    <w:rsid w:val="005E4366"/>
    <w:rsid w:val="005E5721"/>
    <w:rsid w:val="005E58C9"/>
    <w:rsid w:val="005F03D0"/>
    <w:rsid w:val="005F1C3C"/>
    <w:rsid w:val="005F1EC6"/>
    <w:rsid w:val="005F2BCA"/>
    <w:rsid w:val="005F37CE"/>
    <w:rsid w:val="005F3D96"/>
    <w:rsid w:val="005F4AC0"/>
    <w:rsid w:val="005F4E9C"/>
    <w:rsid w:val="005F5F2B"/>
    <w:rsid w:val="005F6FCE"/>
    <w:rsid w:val="005F75A0"/>
    <w:rsid w:val="00600653"/>
    <w:rsid w:val="00600E48"/>
    <w:rsid w:val="006032C4"/>
    <w:rsid w:val="00603C1A"/>
    <w:rsid w:val="00604049"/>
    <w:rsid w:val="006045A6"/>
    <w:rsid w:val="00606D29"/>
    <w:rsid w:val="0060751F"/>
    <w:rsid w:val="0060777E"/>
    <w:rsid w:val="00611854"/>
    <w:rsid w:val="00611EF0"/>
    <w:rsid w:val="0061285A"/>
    <w:rsid w:val="006131C3"/>
    <w:rsid w:val="00616D73"/>
    <w:rsid w:val="0061744B"/>
    <w:rsid w:val="0061751B"/>
    <w:rsid w:val="00617576"/>
    <w:rsid w:val="0062033D"/>
    <w:rsid w:val="00620F03"/>
    <w:rsid w:val="00621738"/>
    <w:rsid w:val="00623116"/>
    <w:rsid w:val="0062382D"/>
    <w:rsid w:val="00623E8A"/>
    <w:rsid w:val="00630728"/>
    <w:rsid w:val="00630B0C"/>
    <w:rsid w:val="00632318"/>
    <w:rsid w:val="006340A4"/>
    <w:rsid w:val="00634704"/>
    <w:rsid w:val="00635F46"/>
    <w:rsid w:val="00636E40"/>
    <w:rsid w:val="006370F9"/>
    <w:rsid w:val="006378B5"/>
    <w:rsid w:val="00642020"/>
    <w:rsid w:val="006424A2"/>
    <w:rsid w:val="00643F75"/>
    <w:rsid w:val="0064783A"/>
    <w:rsid w:val="00650D5B"/>
    <w:rsid w:val="00652AFE"/>
    <w:rsid w:val="00656964"/>
    <w:rsid w:val="006570E7"/>
    <w:rsid w:val="00662659"/>
    <w:rsid w:val="006635D3"/>
    <w:rsid w:val="00663C82"/>
    <w:rsid w:val="006645BA"/>
    <w:rsid w:val="006653E4"/>
    <w:rsid w:val="0067026D"/>
    <w:rsid w:val="00670463"/>
    <w:rsid w:val="00670B16"/>
    <w:rsid w:val="0067174C"/>
    <w:rsid w:val="00671C86"/>
    <w:rsid w:val="00671D11"/>
    <w:rsid w:val="00672AC9"/>
    <w:rsid w:val="0067359B"/>
    <w:rsid w:val="006765AF"/>
    <w:rsid w:val="00681D22"/>
    <w:rsid w:val="00681F5E"/>
    <w:rsid w:val="00683EC0"/>
    <w:rsid w:val="00687743"/>
    <w:rsid w:val="0068793F"/>
    <w:rsid w:val="006900B9"/>
    <w:rsid w:val="006905E1"/>
    <w:rsid w:val="006906CB"/>
    <w:rsid w:val="00691D6B"/>
    <w:rsid w:val="006935C4"/>
    <w:rsid w:val="006939B0"/>
    <w:rsid w:val="00694E4B"/>
    <w:rsid w:val="00694FC5"/>
    <w:rsid w:val="0069638A"/>
    <w:rsid w:val="00696868"/>
    <w:rsid w:val="00697DD7"/>
    <w:rsid w:val="006A0E25"/>
    <w:rsid w:val="006A2572"/>
    <w:rsid w:val="006A2E99"/>
    <w:rsid w:val="006A39E2"/>
    <w:rsid w:val="006A39E4"/>
    <w:rsid w:val="006A45EF"/>
    <w:rsid w:val="006A5288"/>
    <w:rsid w:val="006A53C7"/>
    <w:rsid w:val="006A61A6"/>
    <w:rsid w:val="006A69A7"/>
    <w:rsid w:val="006B0C94"/>
    <w:rsid w:val="006B267E"/>
    <w:rsid w:val="006B29DA"/>
    <w:rsid w:val="006B6215"/>
    <w:rsid w:val="006B66F3"/>
    <w:rsid w:val="006B72FE"/>
    <w:rsid w:val="006C331E"/>
    <w:rsid w:val="006C365D"/>
    <w:rsid w:val="006C51F2"/>
    <w:rsid w:val="006C587E"/>
    <w:rsid w:val="006C6D47"/>
    <w:rsid w:val="006C72E7"/>
    <w:rsid w:val="006D0329"/>
    <w:rsid w:val="006D19A5"/>
    <w:rsid w:val="006D20C5"/>
    <w:rsid w:val="006D283D"/>
    <w:rsid w:val="006D2A2D"/>
    <w:rsid w:val="006D36FA"/>
    <w:rsid w:val="006D4255"/>
    <w:rsid w:val="006D5BD8"/>
    <w:rsid w:val="006D7BBA"/>
    <w:rsid w:val="006E07FC"/>
    <w:rsid w:val="006E3790"/>
    <w:rsid w:val="006E397E"/>
    <w:rsid w:val="006E4AEB"/>
    <w:rsid w:val="006E5EFC"/>
    <w:rsid w:val="006E5FCA"/>
    <w:rsid w:val="006E5FFC"/>
    <w:rsid w:val="006F01F5"/>
    <w:rsid w:val="006F34A5"/>
    <w:rsid w:val="006F3C66"/>
    <w:rsid w:val="006F45DB"/>
    <w:rsid w:val="006F49A6"/>
    <w:rsid w:val="006F5A7B"/>
    <w:rsid w:val="00702333"/>
    <w:rsid w:val="00702AF2"/>
    <w:rsid w:val="00702BA5"/>
    <w:rsid w:val="007037D8"/>
    <w:rsid w:val="00703D18"/>
    <w:rsid w:val="00704281"/>
    <w:rsid w:val="007050A0"/>
    <w:rsid w:val="007050F0"/>
    <w:rsid w:val="00705E64"/>
    <w:rsid w:val="00712A4B"/>
    <w:rsid w:val="007146E5"/>
    <w:rsid w:val="00716022"/>
    <w:rsid w:val="007220E5"/>
    <w:rsid w:val="00722194"/>
    <w:rsid w:val="00722330"/>
    <w:rsid w:val="00722B2E"/>
    <w:rsid w:val="00722D6B"/>
    <w:rsid w:val="007232EA"/>
    <w:rsid w:val="00724B82"/>
    <w:rsid w:val="0072687C"/>
    <w:rsid w:val="007313FA"/>
    <w:rsid w:val="007314D1"/>
    <w:rsid w:val="0073261D"/>
    <w:rsid w:val="007330C9"/>
    <w:rsid w:val="007338A2"/>
    <w:rsid w:val="00734D9E"/>
    <w:rsid w:val="00736C2E"/>
    <w:rsid w:val="00737F28"/>
    <w:rsid w:val="007407E4"/>
    <w:rsid w:val="00741409"/>
    <w:rsid w:val="00741552"/>
    <w:rsid w:val="00742EE4"/>
    <w:rsid w:val="00743107"/>
    <w:rsid w:val="00743A2C"/>
    <w:rsid w:val="007468E4"/>
    <w:rsid w:val="00747466"/>
    <w:rsid w:val="0075184C"/>
    <w:rsid w:val="00754462"/>
    <w:rsid w:val="00754707"/>
    <w:rsid w:val="007554D3"/>
    <w:rsid w:val="00757C13"/>
    <w:rsid w:val="0076076F"/>
    <w:rsid w:val="00760B5C"/>
    <w:rsid w:val="00761A86"/>
    <w:rsid w:val="00765F7C"/>
    <w:rsid w:val="00766441"/>
    <w:rsid w:val="00767109"/>
    <w:rsid w:val="0076762A"/>
    <w:rsid w:val="0077020E"/>
    <w:rsid w:val="0077244E"/>
    <w:rsid w:val="00772637"/>
    <w:rsid w:val="007802C8"/>
    <w:rsid w:val="00780325"/>
    <w:rsid w:val="007807A3"/>
    <w:rsid w:val="007813A5"/>
    <w:rsid w:val="00782699"/>
    <w:rsid w:val="00782895"/>
    <w:rsid w:val="00782B0D"/>
    <w:rsid w:val="0078366A"/>
    <w:rsid w:val="00791115"/>
    <w:rsid w:val="007931ED"/>
    <w:rsid w:val="00793B31"/>
    <w:rsid w:val="00795003"/>
    <w:rsid w:val="0079598E"/>
    <w:rsid w:val="00796C36"/>
    <w:rsid w:val="00797429"/>
    <w:rsid w:val="0079747D"/>
    <w:rsid w:val="007974BC"/>
    <w:rsid w:val="007A2EC2"/>
    <w:rsid w:val="007A4FF2"/>
    <w:rsid w:val="007A5467"/>
    <w:rsid w:val="007A7008"/>
    <w:rsid w:val="007A78DF"/>
    <w:rsid w:val="007B017E"/>
    <w:rsid w:val="007B2AC0"/>
    <w:rsid w:val="007B3C66"/>
    <w:rsid w:val="007B3CFE"/>
    <w:rsid w:val="007B5BDD"/>
    <w:rsid w:val="007B6643"/>
    <w:rsid w:val="007B76D5"/>
    <w:rsid w:val="007C0950"/>
    <w:rsid w:val="007C0A2A"/>
    <w:rsid w:val="007C2A9A"/>
    <w:rsid w:val="007C2AF4"/>
    <w:rsid w:val="007C4269"/>
    <w:rsid w:val="007C5ECA"/>
    <w:rsid w:val="007C6125"/>
    <w:rsid w:val="007C7A04"/>
    <w:rsid w:val="007D0A5C"/>
    <w:rsid w:val="007D0E73"/>
    <w:rsid w:val="007D3B44"/>
    <w:rsid w:val="007D3C35"/>
    <w:rsid w:val="007D53FD"/>
    <w:rsid w:val="007D5EEE"/>
    <w:rsid w:val="007D66FD"/>
    <w:rsid w:val="007D6B02"/>
    <w:rsid w:val="007E026B"/>
    <w:rsid w:val="007E1EA5"/>
    <w:rsid w:val="007E1FAD"/>
    <w:rsid w:val="007E204D"/>
    <w:rsid w:val="007E2AE0"/>
    <w:rsid w:val="007E333D"/>
    <w:rsid w:val="007E35C8"/>
    <w:rsid w:val="007E3DCF"/>
    <w:rsid w:val="007E509B"/>
    <w:rsid w:val="007E7BD9"/>
    <w:rsid w:val="007F069D"/>
    <w:rsid w:val="007F1835"/>
    <w:rsid w:val="007F25EB"/>
    <w:rsid w:val="007F2A98"/>
    <w:rsid w:val="007F3FFE"/>
    <w:rsid w:val="007F4621"/>
    <w:rsid w:val="007F52B1"/>
    <w:rsid w:val="007F5C19"/>
    <w:rsid w:val="00800D5E"/>
    <w:rsid w:val="00801730"/>
    <w:rsid w:val="00801FAC"/>
    <w:rsid w:val="0080233F"/>
    <w:rsid w:val="00803426"/>
    <w:rsid w:val="00806F0C"/>
    <w:rsid w:val="00806FCA"/>
    <w:rsid w:val="008074D6"/>
    <w:rsid w:val="00810593"/>
    <w:rsid w:val="008105B0"/>
    <w:rsid w:val="008127B4"/>
    <w:rsid w:val="008174FD"/>
    <w:rsid w:val="008246B9"/>
    <w:rsid w:val="00824A9F"/>
    <w:rsid w:val="00824D68"/>
    <w:rsid w:val="00824D97"/>
    <w:rsid w:val="008258AA"/>
    <w:rsid w:val="00825BE1"/>
    <w:rsid w:val="00826A1A"/>
    <w:rsid w:val="00830D62"/>
    <w:rsid w:val="00831560"/>
    <w:rsid w:val="008327E0"/>
    <w:rsid w:val="008340CC"/>
    <w:rsid w:val="008353AC"/>
    <w:rsid w:val="008353EE"/>
    <w:rsid w:val="00835F9A"/>
    <w:rsid w:val="00840D35"/>
    <w:rsid w:val="00841575"/>
    <w:rsid w:val="00841652"/>
    <w:rsid w:val="00841F5B"/>
    <w:rsid w:val="0084370C"/>
    <w:rsid w:val="00844241"/>
    <w:rsid w:val="00846A74"/>
    <w:rsid w:val="00852FE5"/>
    <w:rsid w:val="00853116"/>
    <w:rsid w:val="00854DDF"/>
    <w:rsid w:val="008564A0"/>
    <w:rsid w:val="008564F3"/>
    <w:rsid w:val="0085676E"/>
    <w:rsid w:val="00862A9C"/>
    <w:rsid w:val="0086366A"/>
    <w:rsid w:val="008640CE"/>
    <w:rsid w:val="00866B42"/>
    <w:rsid w:val="0086737E"/>
    <w:rsid w:val="00867AE3"/>
    <w:rsid w:val="00867BCD"/>
    <w:rsid w:val="00870AA6"/>
    <w:rsid w:val="00870F34"/>
    <w:rsid w:val="00872F2B"/>
    <w:rsid w:val="008737D9"/>
    <w:rsid w:val="00874AC5"/>
    <w:rsid w:val="00875E40"/>
    <w:rsid w:val="0087631F"/>
    <w:rsid w:val="00883DF7"/>
    <w:rsid w:val="00885B02"/>
    <w:rsid w:val="00886CF6"/>
    <w:rsid w:val="008871C2"/>
    <w:rsid w:val="00890C8C"/>
    <w:rsid w:val="00893E6F"/>
    <w:rsid w:val="008962DE"/>
    <w:rsid w:val="008A3798"/>
    <w:rsid w:val="008A3F3E"/>
    <w:rsid w:val="008A489E"/>
    <w:rsid w:val="008A4E0A"/>
    <w:rsid w:val="008A7766"/>
    <w:rsid w:val="008B2121"/>
    <w:rsid w:val="008B2941"/>
    <w:rsid w:val="008B2A35"/>
    <w:rsid w:val="008B4EED"/>
    <w:rsid w:val="008B52A5"/>
    <w:rsid w:val="008B5AEC"/>
    <w:rsid w:val="008B68FB"/>
    <w:rsid w:val="008B6A6C"/>
    <w:rsid w:val="008B6AA7"/>
    <w:rsid w:val="008B783C"/>
    <w:rsid w:val="008C0821"/>
    <w:rsid w:val="008C1598"/>
    <w:rsid w:val="008C4B9C"/>
    <w:rsid w:val="008C6860"/>
    <w:rsid w:val="008D0B85"/>
    <w:rsid w:val="008D2357"/>
    <w:rsid w:val="008D5AB0"/>
    <w:rsid w:val="008D5DF4"/>
    <w:rsid w:val="008D6028"/>
    <w:rsid w:val="008D6D24"/>
    <w:rsid w:val="008D6DDB"/>
    <w:rsid w:val="008D701A"/>
    <w:rsid w:val="008D717F"/>
    <w:rsid w:val="008E14BA"/>
    <w:rsid w:val="008E1D58"/>
    <w:rsid w:val="008E3357"/>
    <w:rsid w:val="008E4408"/>
    <w:rsid w:val="008E5991"/>
    <w:rsid w:val="008E780B"/>
    <w:rsid w:val="008F17D9"/>
    <w:rsid w:val="008F1FC7"/>
    <w:rsid w:val="008F3883"/>
    <w:rsid w:val="008F4B2C"/>
    <w:rsid w:val="008F5563"/>
    <w:rsid w:val="008F5FFA"/>
    <w:rsid w:val="009012B8"/>
    <w:rsid w:val="009051FE"/>
    <w:rsid w:val="00905A2D"/>
    <w:rsid w:val="0090677A"/>
    <w:rsid w:val="00906CCE"/>
    <w:rsid w:val="0091004F"/>
    <w:rsid w:val="009100C3"/>
    <w:rsid w:val="0091145C"/>
    <w:rsid w:val="00912E77"/>
    <w:rsid w:val="00916F8B"/>
    <w:rsid w:val="00920060"/>
    <w:rsid w:val="00920522"/>
    <w:rsid w:val="00921B69"/>
    <w:rsid w:val="00921CA7"/>
    <w:rsid w:val="0092367C"/>
    <w:rsid w:val="00923846"/>
    <w:rsid w:val="0092553A"/>
    <w:rsid w:val="00925618"/>
    <w:rsid w:val="00926768"/>
    <w:rsid w:val="0092792B"/>
    <w:rsid w:val="00927E88"/>
    <w:rsid w:val="00931850"/>
    <w:rsid w:val="0093195F"/>
    <w:rsid w:val="00931D5B"/>
    <w:rsid w:val="00932DE7"/>
    <w:rsid w:val="009349C8"/>
    <w:rsid w:val="00934FA2"/>
    <w:rsid w:val="00935474"/>
    <w:rsid w:val="00935F94"/>
    <w:rsid w:val="00936037"/>
    <w:rsid w:val="00936C26"/>
    <w:rsid w:val="00937EED"/>
    <w:rsid w:val="009411A6"/>
    <w:rsid w:val="00941984"/>
    <w:rsid w:val="0094343B"/>
    <w:rsid w:val="00945575"/>
    <w:rsid w:val="009469F5"/>
    <w:rsid w:val="00951385"/>
    <w:rsid w:val="0095153E"/>
    <w:rsid w:val="00951671"/>
    <w:rsid w:val="00952703"/>
    <w:rsid w:val="009536D8"/>
    <w:rsid w:val="00955914"/>
    <w:rsid w:val="00955EBF"/>
    <w:rsid w:val="00957EDC"/>
    <w:rsid w:val="00960223"/>
    <w:rsid w:val="009604EF"/>
    <w:rsid w:val="009612A9"/>
    <w:rsid w:val="00962123"/>
    <w:rsid w:val="00962B4C"/>
    <w:rsid w:val="009668F6"/>
    <w:rsid w:val="009711B8"/>
    <w:rsid w:val="00972459"/>
    <w:rsid w:val="00977913"/>
    <w:rsid w:val="0098037E"/>
    <w:rsid w:val="0098316F"/>
    <w:rsid w:val="009852E3"/>
    <w:rsid w:val="00985D73"/>
    <w:rsid w:val="00986823"/>
    <w:rsid w:val="00990125"/>
    <w:rsid w:val="00990490"/>
    <w:rsid w:val="00990AC6"/>
    <w:rsid w:val="00990C54"/>
    <w:rsid w:val="00991C8F"/>
    <w:rsid w:val="00994C7D"/>
    <w:rsid w:val="009952E5"/>
    <w:rsid w:val="0099676A"/>
    <w:rsid w:val="009A0665"/>
    <w:rsid w:val="009A40F2"/>
    <w:rsid w:val="009A4378"/>
    <w:rsid w:val="009A56AA"/>
    <w:rsid w:val="009A6C92"/>
    <w:rsid w:val="009A7C4D"/>
    <w:rsid w:val="009B070A"/>
    <w:rsid w:val="009B1C79"/>
    <w:rsid w:val="009B2218"/>
    <w:rsid w:val="009B2FFD"/>
    <w:rsid w:val="009B3761"/>
    <w:rsid w:val="009B381A"/>
    <w:rsid w:val="009B47F4"/>
    <w:rsid w:val="009B62CE"/>
    <w:rsid w:val="009C1F30"/>
    <w:rsid w:val="009C267F"/>
    <w:rsid w:val="009C3535"/>
    <w:rsid w:val="009C38B6"/>
    <w:rsid w:val="009C3906"/>
    <w:rsid w:val="009C3C6A"/>
    <w:rsid w:val="009C6C3A"/>
    <w:rsid w:val="009D08D9"/>
    <w:rsid w:val="009D20C6"/>
    <w:rsid w:val="009D288E"/>
    <w:rsid w:val="009D36BF"/>
    <w:rsid w:val="009D388F"/>
    <w:rsid w:val="009D3C98"/>
    <w:rsid w:val="009D4614"/>
    <w:rsid w:val="009D7329"/>
    <w:rsid w:val="009D76EF"/>
    <w:rsid w:val="009E0BDA"/>
    <w:rsid w:val="009E1D91"/>
    <w:rsid w:val="009E374F"/>
    <w:rsid w:val="009E5D9A"/>
    <w:rsid w:val="009F228F"/>
    <w:rsid w:val="009F3299"/>
    <w:rsid w:val="009F32A1"/>
    <w:rsid w:val="009F36E5"/>
    <w:rsid w:val="009F7912"/>
    <w:rsid w:val="00A02489"/>
    <w:rsid w:val="00A05DC8"/>
    <w:rsid w:val="00A06602"/>
    <w:rsid w:val="00A07E65"/>
    <w:rsid w:val="00A101FB"/>
    <w:rsid w:val="00A10E67"/>
    <w:rsid w:val="00A11B85"/>
    <w:rsid w:val="00A11D68"/>
    <w:rsid w:val="00A13DE1"/>
    <w:rsid w:val="00A1452A"/>
    <w:rsid w:val="00A17122"/>
    <w:rsid w:val="00A20075"/>
    <w:rsid w:val="00A22AC7"/>
    <w:rsid w:val="00A23F55"/>
    <w:rsid w:val="00A248AE"/>
    <w:rsid w:val="00A25ACB"/>
    <w:rsid w:val="00A25B45"/>
    <w:rsid w:val="00A30D74"/>
    <w:rsid w:val="00A310A8"/>
    <w:rsid w:val="00A3766C"/>
    <w:rsid w:val="00A417F9"/>
    <w:rsid w:val="00A42CC9"/>
    <w:rsid w:val="00A4302B"/>
    <w:rsid w:val="00A43DB6"/>
    <w:rsid w:val="00A447C8"/>
    <w:rsid w:val="00A44DB9"/>
    <w:rsid w:val="00A45C7E"/>
    <w:rsid w:val="00A45C82"/>
    <w:rsid w:val="00A460FF"/>
    <w:rsid w:val="00A46816"/>
    <w:rsid w:val="00A46E8C"/>
    <w:rsid w:val="00A5096B"/>
    <w:rsid w:val="00A54948"/>
    <w:rsid w:val="00A550ED"/>
    <w:rsid w:val="00A552D2"/>
    <w:rsid w:val="00A55457"/>
    <w:rsid w:val="00A55FC3"/>
    <w:rsid w:val="00A561DF"/>
    <w:rsid w:val="00A56C53"/>
    <w:rsid w:val="00A579EC"/>
    <w:rsid w:val="00A60D69"/>
    <w:rsid w:val="00A617C2"/>
    <w:rsid w:val="00A61C31"/>
    <w:rsid w:val="00A61FF6"/>
    <w:rsid w:val="00A62504"/>
    <w:rsid w:val="00A6393A"/>
    <w:rsid w:val="00A63CBD"/>
    <w:rsid w:val="00A642ED"/>
    <w:rsid w:val="00A67F10"/>
    <w:rsid w:val="00A71373"/>
    <w:rsid w:val="00A7204C"/>
    <w:rsid w:val="00A72437"/>
    <w:rsid w:val="00A738D2"/>
    <w:rsid w:val="00A74700"/>
    <w:rsid w:val="00A747F5"/>
    <w:rsid w:val="00A75503"/>
    <w:rsid w:val="00A772F1"/>
    <w:rsid w:val="00A774D3"/>
    <w:rsid w:val="00A80186"/>
    <w:rsid w:val="00A80C48"/>
    <w:rsid w:val="00A8162B"/>
    <w:rsid w:val="00A82064"/>
    <w:rsid w:val="00A82CBA"/>
    <w:rsid w:val="00A83494"/>
    <w:rsid w:val="00A854E0"/>
    <w:rsid w:val="00A869DC"/>
    <w:rsid w:val="00A905CE"/>
    <w:rsid w:val="00A90770"/>
    <w:rsid w:val="00A91FB6"/>
    <w:rsid w:val="00A955D3"/>
    <w:rsid w:val="00A9578F"/>
    <w:rsid w:val="00A95915"/>
    <w:rsid w:val="00A966ED"/>
    <w:rsid w:val="00AA0410"/>
    <w:rsid w:val="00AA08E2"/>
    <w:rsid w:val="00AA5B83"/>
    <w:rsid w:val="00AA608E"/>
    <w:rsid w:val="00AA701C"/>
    <w:rsid w:val="00AB117E"/>
    <w:rsid w:val="00AB1650"/>
    <w:rsid w:val="00AB1774"/>
    <w:rsid w:val="00AB1982"/>
    <w:rsid w:val="00AB4BCC"/>
    <w:rsid w:val="00AB4D02"/>
    <w:rsid w:val="00AB6238"/>
    <w:rsid w:val="00AC1666"/>
    <w:rsid w:val="00AC2186"/>
    <w:rsid w:val="00AC628A"/>
    <w:rsid w:val="00AD0E65"/>
    <w:rsid w:val="00AD15CD"/>
    <w:rsid w:val="00AD39F8"/>
    <w:rsid w:val="00AD437A"/>
    <w:rsid w:val="00AD4829"/>
    <w:rsid w:val="00AD4D32"/>
    <w:rsid w:val="00AD5421"/>
    <w:rsid w:val="00AD6C5C"/>
    <w:rsid w:val="00AD7427"/>
    <w:rsid w:val="00AD76EB"/>
    <w:rsid w:val="00AD7A99"/>
    <w:rsid w:val="00AE1DAE"/>
    <w:rsid w:val="00AE23C8"/>
    <w:rsid w:val="00AE33B3"/>
    <w:rsid w:val="00AE3DC7"/>
    <w:rsid w:val="00AE49FB"/>
    <w:rsid w:val="00AE6627"/>
    <w:rsid w:val="00AE7AB6"/>
    <w:rsid w:val="00AE7DB8"/>
    <w:rsid w:val="00AF2F45"/>
    <w:rsid w:val="00AF43AC"/>
    <w:rsid w:val="00AF6147"/>
    <w:rsid w:val="00AF61F2"/>
    <w:rsid w:val="00AF7D61"/>
    <w:rsid w:val="00B005DA"/>
    <w:rsid w:val="00B00A81"/>
    <w:rsid w:val="00B00FAA"/>
    <w:rsid w:val="00B038EA"/>
    <w:rsid w:val="00B03CB9"/>
    <w:rsid w:val="00B0441C"/>
    <w:rsid w:val="00B064BA"/>
    <w:rsid w:val="00B0727E"/>
    <w:rsid w:val="00B07D51"/>
    <w:rsid w:val="00B10686"/>
    <w:rsid w:val="00B16205"/>
    <w:rsid w:val="00B220FF"/>
    <w:rsid w:val="00B2242E"/>
    <w:rsid w:val="00B2452E"/>
    <w:rsid w:val="00B24A16"/>
    <w:rsid w:val="00B268BF"/>
    <w:rsid w:val="00B27B6D"/>
    <w:rsid w:val="00B305E3"/>
    <w:rsid w:val="00B31260"/>
    <w:rsid w:val="00B31660"/>
    <w:rsid w:val="00B316E4"/>
    <w:rsid w:val="00B320A3"/>
    <w:rsid w:val="00B33503"/>
    <w:rsid w:val="00B3603E"/>
    <w:rsid w:val="00B37927"/>
    <w:rsid w:val="00B40BCC"/>
    <w:rsid w:val="00B40F05"/>
    <w:rsid w:val="00B41878"/>
    <w:rsid w:val="00B4188B"/>
    <w:rsid w:val="00B42394"/>
    <w:rsid w:val="00B42700"/>
    <w:rsid w:val="00B42ED4"/>
    <w:rsid w:val="00B46120"/>
    <w:rsid w:val="00B468D5"/>
    <w:rsid w:val="00B475F0"/>
    <w:rsid w:val="00B47A83"/>
    <w:rsid w:val="00B524F4"/>
    <w:rsid w:val="00B53100"/>
    <w:rsid w:val="00B54547"/>
    <w:rsid w:val="00B545E8"/>
    <w:rsid w:val="00B55643"/>
    <w:rsid w:val="00B55C76"/>
    <w:rsid w:val="00B568A1"/>
    <w:rsid w:val="00B5704E"/>
    <w:rsid w:val="00B622A1"/>
    <w:rsid w:val="00B62652"/>
    <w:rsid w:val="00B62ACF"/>
    <w:rsid w:val="00B63061"/>
    <w:rsid w:val="00B632E5"/>
    <w:rsid w:val="00B639BD"/>
    <w:rsid w:val="00B643EF"/>
    <w:rsid w:val="00B65C77"/>
    <w:rsid w:val="00B66386"/>
    <w:rsid w:val="00B66A93"/>
    <w:rsid w:val="00B675D2"/>
    <w:rsid w:val="00B67D2B"/>
    <w:rsid w:val="00B70FAB"/>
    <w:rsid w:val="00B7312A"/>
    <w:rsid w:val="00B74025"/>
    <w:rsid w:val="00B77D71"/>
    <w:rsid w:val="00B80BB2"/>
    <w:rsid w:val="00B81B7D"/>
    <w:rsid w:val="00B81C6C"/>
    <w:rsid w:val="00B81F8A"/>
    <w:rsid w:val="00B830D9"/>
    <w:rsid w:val="00B851EB"/>
    <w:rsid w:val="00B87927"/>
    <w:rsid w:val="00B909E9"/>
    <w:rsid w:val="00B9192D"/>
    <w:rsid w:val="00B93597"/>
    <w:rsid w:val="00B93A33"/>
    <w:rsid w:val="00B947CD"/>
    <w:rsid w:val="00B95E01"/>
    <w:rsid w:val="00B9633E"/>
    <w:rsid w:val="00B97E0D"/>
    <w:rsid w:val="00BA0353"/>
    <w:rsid w:val="00BA03B4"/>
    <w:rsid w:val="00BA0F1D"/>
    <w:rsid w:val="00BA21AD"/>
    <w:rsid w:val="00BA22E1"/>
    <w:rsid w:val="00BB0EF2"/>
    <w:rsid w:val="00BB1486"/>
    <w:rsid w:val="00BB2707"/>
    <w:rsid w:val="00BB3141"/>
    <w:rsid w:val="00BB66FD"/>
    <w:rsid w:val="00BB732A"/>
    <w:rsid w:val="00BB76AC"/>
    <w:rsid w:val="00BC345D"/>
    <w:rsid w:val="00BC7CB3"/>
    <w:rsid w:val="00BD0ED5"/>
    <w:rsid w:val="00BD313C"/>
    <w:rsid w:val="00BD4406"/>
    <w:rsid w:val="00BD5F4F"/>
    <w:rsid w:val="00BD75EC"/>
    <w:rsid w:val="00BE1DC2"/>
    <w:rsid w:val="00BE4E6D"/>
    <w:rsid w:val="00BF1B88"/>
    <w:rsid w:val="00BF3D02"/>
    <w:rsid w:val="00BF4193"/>
    <w:rsid w:val="00BF4FC2"/>
    <w:rsid w:val="00BF523E"/>
    <w:rsid w:val="00BF551F"/>
    <w:rsid w:val="00C02FBC"/>
    <w:rsid w:val="00C03956"/>
    <w:rsid w:val="00C04B43"/>
    <w:rsid w:val="00C052EE"/>
    <w:rsid w:val="00C06339"/>
    <w:rsid w:val="00C06F3B"/>
    <w:rsid w:val="00C07089"/>
    <w:rsid w:val="00C07D6D"/>
    <w:rsid w:val="00C10A2A"/>
    <w:rsid w:val="00C10E06"/>
    <w:rsid w:val="00C1109D"/>
    <w:rsid w:val="00C13A2E"/>
    <w:rsid w:val="00C15057"/>
    <w:rsid w:val="00C1579C"/>
    <w:rsid w:val="00C15CB0"/>
    <w:rsid w:val="00C163E9"/>
    <w:rsid w:val="00C179D9"/>
    <w:rsid w:val="00C20857"/>
    <w:rsid w:val="00C20C05"/>
    <w:rsid w:val="00C20F89"/>
    <w:rsid w:val="00C215C5"/>
    <w:rsid w:val="00C22A3B"/>
    <w:rsid w:val="00C2353B"/>
    <w:rsid w:val="00C2650C"/>
    <w:rsid w:val="00C26C16"/>
    <w:rsid w:val="00C27568"/>
    <w:rsid w:val="00C33542"/>
    <w:rsid w:val="00C34064"/>
    <w:rsid w:val="00C34F04"/>
    <w:rsid w:val="00C350DC"/>
    <w:rsid w:val="00C37E8E"/>
    <w:rsid w:val="00C40CA0"/>
    <w:rsid w:val="00C41DEA"/>
    <w:rsid w:val="00C44FE8"/>
    <w:rsid w:val="00C4602F"/>
    <w:rsid w:val="00C46D44"/>
    <w:rsid w:val="00C5047E"/>
    <w:rsid w:val="00C50F8D"/>
    <w:rsid w:val="00C511E6"/>
    <w:rsid w:val="00C51DBF"/>
    <w:rsid w:val="00C52C90"/>
    <w:rsid w:val="00C5386E"/>
    <w:rsid w:val="00C558B5"/>
    <w:rsid w:val="00C57C1F"/>
    <w:rsid w:val="00C601E2"/>
    <w:rsid w:val="00C63D30"/>
    <w:rsid w:val="00C64DDB"/>
    <w:rsid w:val="00C66D9F"/>
    <w:rsid w:val="00C70481"/>
    <w:rsid w:val="00C71644"/>
    <w:rsid w:val="00C7206D"/>
    <w:rsid w:val="00C748B1"/>
    <w:rsid w:val="00C765F3"/>
    <w:rsid w:val="00C76CC4"/>
    <w:rsid w:val="00C76EBA"/>
    <w:rsid w:val="00C77D6E"/>
    <w:rsid w:val="00C860CA"/>
    <w:rsid w:val="00C8611B"/>
    <w:rsid w:val="00C86251"/>
    <w:rsid w:val="00C87604"/>
    <w:rsid w:val="00C9034A"/>
    <w:rsid w:val="00C9071C"/>
    <w:rsid w:val="00C91F21"/>
    <w:rsid w:val="00C92819"/>
    <w:rsid w:val="00C92BA0"/>
    <w:rsid w:val="00C92DE3"/>
    <w:rsid w:val="00C9309F"/>
    <w:rsid w:val="00C9375A"/>
    <w:rsid w:val="00C97B50"/>
    <w:rsid w:val="00CA072A"/>
    <w:rsid w:val="00CA0951"/>
    <w:rsid w:val="00CA0F43"/>
    <w:rsid w:val="00CA1780"/>
    <w:rsid w:val="00CA2435"/>
    <w:rsid w:val="00CA2827"/>
    <w:rsid w:val="00CA324E"/>
    <w:rsid w:val="00CA35E3"/>
    <w:rsid w:val="00CA5134"/>
    <w:rsid w:val="00CA5537"/>
    <w:rsid w:val="00CB0A36"/>
    <w:rsid w:val="00CB2352"/>
    <w:rsid w:val="00CB46D3"/>
    <w:rsid w:val="00CB52F6"/>
    <w:rsid w:val="00CB717B"/>
    <w:rsid w:val="00CC05B1"/>
    <w:rsid w:val="00CC19D0"/>
    <w:rsid w:val="00CC1B2B"/>
    <w:rsid w:val="00CC265D"/>
    <w:rsid w:val="00CC3588"/>
    <w:rsid w:val="00CC35AD"/>
    <w:rsid w:val="00CC517A"/>
    <w:rsid w:val="00CC5237"/>
    <w:rsid w:val="00CC7DB8"/>
    <w:rsid w:val="00CD12E0"/>
    <w:rsid w:val="00CD1C0B"/>
    <w:rsid w:val="00CD45CB"/>
    <w:rsid w:val="00CE5481"/>
    <w:rsid w:val="00CE568F"/>
    <w:rsid w:val="00CF04DA"/>
    <w:rsid w:val="00CF07B4"/>
    <w:rsid w:val="00CF1A6C"/>
    <w:rsid w:val="00CF2CAB"/>
    <w:rsid w:val="00CF3A46"/>
    <w:rsid w:val="00CF3DDA"/>
    <w:rsid w:val="00CF4835"/>
    <w:rsid w:val="00CF4D01"/>
    <w:rsid w:val="00CF5F5C"/>
    <w:rsid w:val="00CF72B4"/>
    <w:rsid w:val="00CF7668"/>
    <w:rsid w:val="00D014E1"/>
    <w:rsid w:val="00D034D5"/>
    <w:rsid w:val="00D03F5E"/>
    <w:rsid w:val="00D0490F"/>
    <w:rsid w:val="00D05CA8"/>
    <w:rsid w:val="00D10905"/>
    <w:rsid w:val="00D11A55"/>
    <w:rsid w:val="00D12A5D"/>
    <w:rsid w:val="00D133E0"/>
    <w:rsid w:val="00D13894"/>
    <w:rsid w:val="00D15248"/>
    <w:rsid w:val="00D1578F"/>
    <w:rsid w:val="00D15AA4"/>
    <w:rsid w:val="00D15B29"/>
    <w:rsid w:val="00D15E80"/>
    <w:rsid w:val="00D168F2"/>
    <w:rsid w:val="00D17522"/>
    <w:rsid w:val="00D203D3"/>
    <w:rsid w:val="00D2094E"/>
    <w:rsid w:val="00D2167F"/>
    <w:rsid w:val="00D21F9C"/>
    <w:rsid w:val="00D23AD3"/>
    <w:rsid w:val="00D24E49"/>
    <w:rsid w:val="00D24E7D"/>
    <w:rsid w:val="00D25E96"/>
    <w:rsid w:val="00D260B4"/>
    <w:rsid w:val="00D277EB"/>
    <w:rsid w:val="00D30F28"/>
    <w:rsid w:val="00D31798"/>
    <w:rsid w:val="00D31C5C"/>
    <w:rsid w:val="00D3333E"/>
    <w:rsid w:val="00D359D6"/>
    <w:rsid w:val="00D37CF7"/>
    <w:rsid w:val="00D43CBB"/>
    <w:rsid w:val="00D43ECC"/>
    <w:rsid w:val="00D50E7F"/>
    <w:rsid w:val="00D52C00"/>
    <w:rsid w:val="00D5321E"/>
    <w:rsid w:val="00D53B3B"/>
    <w:rsid w:val="00D5416D"/>
    <w:rsid w:val="00D562AF"/>
    <w:rsid w:val="00D564A2"/>
    <w:rsid w:val="00D57B20"/>
    <w:rsid w:val="00D62275"/>
    <w:rsid w:val="00D64A44"/>
    <w:rsid w:val="00D6537F"/>
    <w:rsid w:val="00D655C9"/>
    <w:rsid w:val="00D67A6D"/>
    <w:rsid w:val="00D70001"/>
    <w:rsid w:val="00D71102"/>
    <w:rsid w:val="00D71DCB"/>
    <w:rsid w:val="00D7209E"/>
    <w:rsid w:val="00D72186"/>
    <w:rsid w:val="00D757E4"/>
    <w:rsid w:val="00D773CA"/>
    <w:rsid w:val="00D7741E"/>
    <w:rsid w:val="00D82834"/>
    <w:rsid w:val="00D84410"/>
    <w:rsid w:val="00D84674"/>
    <w:rsid w:val="00D8618B"/>
    <w:rsid w:val="00D86788"/>
    <w:rsid w:val="00D8799A"/>
    <w:rsid w:val="00D910F4"/>
    <w:rsid w:val="00D934C0"/>
    <w:rsid w:val="00D93710"/>
    <w:rsid w:val="00D93A9E"/>
    <w:rsid w:val="00D97297"/>
    <w:rsid w:val="00D972AE"/>
    <w:rsid w:val="00DA1BAD"/>
    <w:rsid w:val="00DA2B49"/>
    <w:rsid w:val="00DA4748"/>
    <w:rsid w:val="00DA4BA2"/>
    <w:rsid w:val="00DA68C7"/>
    <w:rsid w:val="00DA74A8"/>
    <w:rsid w:val="00DA7E6B"/>
    <w:rsid w:val="00DB0C7F"/>
    <w:rsid w:val="00DB1D42"/>
    <w:rsid w:val="00DB27D9"/>
    <w:rsid w:val="00DB65F6"/>
    <w:rsid w:val="00DB6CB3"/>
    <w:rsid w:val="00DB77E4"/>
    <w:rsid w:val="00DB795A"/>
    <w:rsid w:val="00DC0A6A"/>
    <w:rsid w:val="00DC1981"/>
    <w:rsid w:val="00DC23E6"/>
    <w:rsid w:val="00DC2836"/>
    <w:rsid w:val="00DC3DD1"/>
    <w:rsid w:val="00DD2842"/>
    <w:rsid w:val="00DD7C32"/>
    <w:rsid w:val="00DE005B"/>
    <w:rsid w:val="00DE0329"/>
    <w:rsid w:val="00DE0D9B"/>
    <w:rsid w:val="00DE262B"/>
    <w:rsid w:val="00DE5324"/>
    <w:rsid w:val="00DE6573"/>
    <w:rsid w:val="00DE70E0"/>
    <w:rsid w:val="00DF0AD4"/>
    <w:rsid w:val="00DF2210"/>
    <w:rsid w:val="00DF22CE"/>
    <w:rsid w:val="00DF3648"/>
    <w:rsid w:val="00DF3FF6"/>
    <w:rsid w:val="00DF4ACD"/>
    <w:rsid w:val="00DF4DEE"/>
    <w:rsid w:val="00DF6023"/>
    <w:rsid w:val="00DF75EC"/>
    <w:rsid w:val="00DF7D53"/>
    <w:rsid w:val="00E009F1"/>
    <w:rsid w:val="00E00E34"/>
    <w:rsid w:val="00E0116C"/>
    <w:rsid w:val="00E01B42"/>
    <w:rsid w:val="00E021CC"/>
    <w:rsid w:val="00E0466E"/>
    <w:rsid w:val="00E04DBB"/>
    <w:rsid w:val="00E051FE"/>
    <w:rsid w:val="00E0679F"/>
    <w:rsid w:val="00E1114D"/>
    <w:rsid w:val="00E11327"/>
    <w:rsid w:val="00E12989"/>
    <w:rsid w:val="00E12D44"/>
    <w:rsid w:val="00E13AAE"/>
    <w:rsid w:val="00E141A1"/>
    <w:rsid w:val="00E149C6"/>
    <w:rsid w:val="00E15B97"/>
    <w:rsid w:val="00E166AC"/>
    <w:rsid w:val="00E17C2B"/>
    <w:rsid w:val="00E17FE9"/>
    <w:rsid w:val="00E22816"/>
    <w:rsid w:val="00E22AB6"/>
    <w:rsid w:val="00E22BFD"/>
    <w:rsid w:val="00E23945"/>
    <w:rsid w:val="00E267BE"/>
    <w:rsid w:val="00E27616"/>
    <w:rsid w:val="00E30A40"/>
    <w:rsid w:val="00E31773"/>
    <w:rsid w:val="00E318DF"/>
    <w:rsid w:val="00E31ADD"/>
    <w:rsid w:val="00E3238D"/>
    <w:rsid w:val="00E341E4"/>
    <w:rsid w:val="00E36163"/>
    <w:rsid w:val="00E372B5"/>
    <w:rsid w:val="00E3778C"/>
    <w:rsid w:val="00E4056F"/>
    <w:rsid w:val="00E441E3"/>
    <w:rsid w:val="00E44C0B"/>
    <w:rsid w:val="00E4521E"/>
    <w:rsid w:val="00E460D4"/>
    <w:rsid w:val="00E46E49"/>
    <w:rsid w:val="00E510B8"/>
    <w:rsid w:val="00E518D2"/>
    <w:rsid w:val="00E51EAB"/>
    <w:rsid w:val="00E52109"/>
    <w:rsid w:val="00E52C8D"/>
    <w:rsid w:val="00E5336A"/>
    <w:rsid w:val="00E5375E"/>
    <w:rsid w:val="00E53B8E"/>
    <w:rsid w:val="00E559C8"/>
    <w:rsid w:val="00E5646D"/>
    <w:rsid w:val="00E6572F"/>
    <w:rsid w:val="00E67647"/>
    <w:rsid w:val="00E7089F"/>
    <w:rsid w:val="00E70C89"/>
    <w:rsid w:val="00E70FDC"/>
    <w:rsid w:val="00E72063"/>
    <w:rsid w:val="00E7383B"/>
    <w:rsid w:val="00E73EC5"/>
    <w:rsid w:val="00E76BB4"/>
    <w:rsid w:val="00E82238"/>
    <w:rsid w:val="00E832E0"/>
    <w:rsid w:val="00E86985"/>
    <w:rsid w:val="00E90152"/>
    <w:rsid w:val="00E9074F"/>
    <w:rsid w:val="00E92AF7"/>
    <w:rsid w:val="00E934C5"/>
    <w:rsid w:val="00E94080"/>
    <w:rsid w:val="00E95140"/>
    <w:rsid w:val="00EA03CA"/>
    <w:rsid w:val="00EA04C3"/>
    <w:rsid w:val="00EA0783"/>
    <w:rsid w:val="00EA17C2"/>
    <w:rsid w:val="00EA1A8D"/>
    <w:rsid w:val="00EA277A"/>
    <w:rsid w:val="00EA2FF9"/>
    <w:rsid w:val="00EA4BBF"/>
    <w:rsid w:val="00EA4F21"/>
    <w:rsid w:val="00EB0A34"/>
    <w:rsid w:val="00EB1754"/>
    <w:rsid w:val="00EB19C3"/>
    <w:rsid w:val="00EB1D2B"/>
    <w:rsid w:val="00EB2338"/>
    <w:rsid w:val="00EB3478"/>
    <w:rsid w:val="00EB3CC3"/>
    <w:rsid w:val="00EB3E17"/>
    <w:rsid w:val="00EB67F4"/>
    <w:rsid w:val="00EB6A00"/>
    <w:rsid w:val="00EB7409"/>
    <w:rsid w:val="00EC1C8A"/>
    <w:rsid w:val="00EC2F12"/>
    <w:rsid w:val="00EC52A5"/>
    <w:rsid w:val="00ED012F"/>
    <w:rsid w:val="00ED0AF5"/>
    <w:rsid w:val="00ED0C00"/>
    <w:rsid w:val="00EE0472"/>
    <w:rsid w:val="00EE0F52"/>
    <w:rsid w:val="00EE1332"/>
    <w:rsid w:val="00EE15C2"/>
    <w:rsid w:val="00EE2ED0"/>
    <w:rsid w:val="00EE5F50"/>
    <w:rsid w:val="00EE6AB1"/>
    <w:rsid w:val="00EF0095"/>
    <w:rsid w:val="00EF0935"/>
    <w:rsid w:val="00EF158C"/>
    <w:rsid w:val="00EF40D6"/>
    <w:rsid w:val="00EF735A"/>
    <w:rsid w:val="00EF786B"/>
    <w:rsid w:val="00F0061D"/>
    <w:rsid w:val="00F0079B"/>
    <w:rsid w:val="00F00941"/>
    <w:rsid w:val="00F02E2A"/>
    <w:rsid w:val="00F03A3E"/>
    <w:rsid w:val="00F04D9A"/>
    <w:rsid w:val="00F056B0"/>
    <w:rsid w:val="00F058FC"/>
    <w:rsid w:val="00F069D8"/>
    <w:rsid w:val="00F07872"/>
    <w:rsid w:val="00F1054D"/>
    <w:rsid w:val="00F105EB"/>
    <w:rsid w:val="00F14A88"/>
    <w:rsid w:val="00F15AEB"/>
    <w:rsid w:val="00F16395"/>
    <w:rsid w:val="00F173D8"/>
    <w:rsid w:val="00F178B8"/>
    <w:rsid w:val="00F205B7"/>
    <w:rsid w:val="00F20A43"/>
    <w:rsid w:val="00F20AFE"/>
    <w:rsid w:val="00F215A4"/>
    <w:rsid w:val="00F21C3C"/>
    <w:rsid w:val="00F22EFB"/>
    <w:rsid w:val="00F256FB"/>
    <w:rsid w:val="00F30E0E"/>
    <w:rsid w:val="00F31A38"/>
    <w:rsid w:val="00F31DC9"/>
    <w:rsid w:val="00F324E8"/>
    <w:rsid w:val="00F33F86"/>
    <w:rsid w:val="00F35B73"/>
    <w:rsid w:val="00F36165"/>
    <w:rsid w:val="00F377EE"/>
    <w:rsid w:val="00F41688"/>
    <w:rsid w:val="00F42A1E"/>
    <w:rsid w:val="00F432AF"/>
    <w:rsid w:val="00F43C6D"/>
    <w:rsid w:val="00F4409A"/>
    <w:rsid w:val="00F444CD"/>
    <w:rsid w:val="00F44831"/>
    <w:rsid w:val="00F4500A"/>
    <w:rsid w:val="00F45B9D"/>
    <w:rsid w:val="00F5121C"/>
    <w:rsid w:val="00F51804"/>
    <w:rsid w:val="00F531C4"/>
    <w:rsid w:val="00F535A6"/>
    <w:rsid w:val="00F562B6"/>
    <w:rsid w:val="00F62E5C"/>
    <w:rsid w:val="00F64D45"/>
    <w:rsid w:val="00F65983"/>
    <w:rsid w:val="00F65A24"/>
    <w:rsid w:val="00F70074"/>
    <w:rsid w:val="00F70245"/>
    <w:rsid w:val="00F70B47"/>
    <w:rsid w:val="00F71DE5"/>
    <w:rsid w:val="00F74684"/>
    <w:rsid w:val="00F74D35"/>
    <w:rsid w:val="00F752FB"/>
    <w:rsid w:val="00F75B50"/>
    <w:rsid w:val="00F76A6A"/>
    <w:rsid w:val="00F81FB9"/>
    <w:rsid w:val="00F82074"/>
    <w:rsid w:val="00F83458"/>
    <w:rsid w:val="00F83A00"/>
    <w:rsid w:val="00F83EF7"/>
    <w:rsid w:val="00F86E13"/>
    <w:rsid w:val="00F87C08"/>
    <w:rsid w:val="00F87EB8"/>
    <w:rsid w:val="00F90E96"/>
    <w:rsid w:val="00F945E4"/>
    <w:rsid w:val="00F94B5D"/>
    <w:rsid w:val="00F952BA"/>
    <w:rsid w:val="00F9610A"/>
    <w:rsid w:val="00F965B9"/>
    <w:rsid w:val="00F9692E"/>
    <w:rsid w:val="00F97539"/>
    <w:rsid w:val="00FA1DB9"/>
    <w:rsid w:val="00FA27AD"/>
    <w:rsid w:val="00FA3D6E"/>
    <w:rsid w:val="00FA449B"/>
    <w:rsid w:val="00FA5E10"/>
    <w:rsid w:val="00FB1B9C"/>
    <w:rsid w:val="00FB26A3"/>
    <w:rsid w:val="00FB2AB7"/>
    <w:rsid w:val="00FB2DE5"/>
    <w:rsid w:val="00FB4189"/>
    <w:rsid w:val="00FB62A0"/>
    <w:rsid w:val="00FB6CEA"/>
    <w:rsid w:val="00FB7B7F"/>
    <w:rsid w:val="00FC09BD"/>
    <w:rsid w:val="00FC1C02"/>
    <w:rsid w:val="00FC2F6D"/>
    <w:rsid w:val="00FC3113"/>
    <w:rsid w:val="00FC4458"/>
    <w:rsid w:val="00FC5934"/>
    <w:rsid w:val="00FC6A3A"/>
    <w:rsid w:val="00FD0D2E"/>
    <w:rsid w:val="00FD1C51"/>
    <w:rsid w:val="00FD3934"/>
    <w:rsid w:val="00FD3CB8"/>
    <w:rsid w:val="00FD59D0"/>
    <w:rsid w:val="00FD70FF"/>
    <w:rsid w:val="00FE09AD"/>
    <w:rsid w:val="00FE2657"/>
    <w:rsid w:val="00FE2780"/>
    <w:rsid w:val="00FE46BD"/>
    <w:rsid w:val="00FE64DF"/>
    <w:rsid w:val="00FE7454"/>
    <w:rsid w:val="00FE790F"/>
    <w:rsid w:val="00FE7E9D"/>
    <w:rsid w:val="00FF0D2C"/>
    <w:rsid w:val="00FF2A07"/>
    <w:rsid w:val="00FF2C36"/>
    <w:rsid w:val="00FF44B9"/>
    <w:rsid w:val="00FF4702"/>
    <w:rsid w:val="00FF4FE2"/>
    <w:rsid w:val="00FF5905"/>
    <w:rsid w:val="00FF62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EC995"/>
  <w15:docId w15:val="{36BBC858-7308-440D-9F58-E945FA98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A00"/>
    <w:rPr>
      <w:rFonts w:ascii="Verdana" w:hAnsi="Verdana" w:cs="Arial"/>
      <w:lang w:val="en-CA" w:eastAsia="en-US"/>
    </w:rPr>
  </w:style>
  <w:style w:type="paragraph" w:styleId="Heading1">
    <w:name w:val="heading 1"/>
    <w:aliases w:val="Main Heading,TCI 1.  Heading, 1,annexe,CHAPITRE,1,alec1, Main Heading, 11,11"/>
    <w:next w:val="BodyText"/>
    <w:link w:val="Heading1Char"/>
    <w:uiPriority w:val="9"/>
    <w:qFormat/>
    <w:rsid w:val="004522C3"/>
    <w:pPr>
      <w:keepNext/>
      <w:numPr>
        <w:numId w:val="5"/>
      </w:numPr>
      <w:spacing w:after="80"/>
      <w:outlineLvl w:val="0"/>
    </w:pPr>
    <w:rPr>
      <w:rFonts w:ascii="Verdana" w:hAnsi="Verdana" w:cs="Arial"/>
      <w:b/>
      <w:bCs/>
      <w:sz w:val="28"/>
      <w:szCs w:val="28"/>
      <w:lang w:val="en-CA" w:eastAsia="en-US"/>
    </w:rPr>
  </w:style>
  <w:style w:type="paragraph" w:styleId="Heading2">
    <w:name w:val="heading 2"/>
    <w:aliases w:val="Paranum,2,Chpt,Titolo 2"/>
    <w:next w:val="BodyText"/>
    <w:link w:val="Heading2Char"/>
    <w:uiPriority w:val="9"/>
    <w:qFormat/>
    <w:rsid w:val="004139C4"/>
    <w:pPr>
      <w:keepNext/>
      <w:numPr>
        <w:numId w:val="11"/>
      </w:numPr>
      <w:spacing w:after="40"/>
      <w:outlineLvl w:val="1"/>
    </w:pPr>
    <w:rPr>
      <w:rFonts w:ascii="Verdana" w:hAnsi="Verdana" w:cs="Arial"/>
      <w:b/>
      <w:sz w:val="24"/>
      <w:lang w:val="en-CA" w:eastAsia="en-US"/>
    </w:rPr>
  </w:style>
  <w:style w:type="paragraph" w:styleId="Heading3">
    <w:name w:val="heading 3"/>
    <w:next w:val="BodyText"/>
    <w:link w:val="Heading3Char"/>
    <w:qFormat/>
    <w:rsid w:val="00A80186"/>
    <w:pPr>
      <w:spacing w:after="40"/>
      <w:ind w:left="567"/>
      <w:outlineLvl w:val="2"/>
    </w:pPr>
    <w:rPr>
      <w:rFonts w:ascii="Verdana" w:hAnsi="Verdana" w:cs="Arial"/>
      <w:b/>
      <w:lang w:val="en-CA" w:eastAsia="en-US"/>
    </w:rPr>
  </w:style>
  <w:style w:type="paragraph" w:styleId="Heading4">
    <w:name w:val="heading 4"/>
    <w:aliases w:val="Centred"/>
    <w:basedOn w:val="Normal"/>
    <w:next w:val="Normal"/>
    <w:link w:val="Heading4Char"/>
    <w:qFormat/>
    <w:rsid w:val="00AB1982"/>
    <w:pPr>
      <w:keepNext/>
      <w:numPr>
        <w:ilvl w:val="3"/>
        <w:numId w:val="2"/>
      </w:numPr>
      <w:spacing w:before="120" w:after="120"/>
      <w:outlineLvl w:val="3"/>
    </w:pPr>
    <w:rPr>
      <w:b/>
      <w:i/>
    </w:rPr>
  </w:style>
  <w:style w:type="paragraph" w:styleId="Heading5">
    <w:name w:val="heading 5"/>
    <w:aliases w:val=" Side,Side"/>
    <w:basedOn w:val="Normal"/>
    <w:next w:val="Normal"/>
    <w:link w:val="Heading5Char"/>
    <w:qFormat/>
    <w:rsid w:val="00AB1982"/>
    <w:pPr>
      <w:numPr>
        <w:ilvl w:val="4"/>
        <w:numId w:val="2"/>
      </w:numPr>
      <w:spacing w:before="240" w:after="60"/>
      <w:outlineLvl w:val="4"/>
    </w:pPr>
  </w:style>
  <w:style w:type="paragraph" w:styleId="Heading6">
    <w:name w:val="heading 6"/>
    <w:basedOn w:val="Normal"/>
    <w:next w:val="Normal"/>
    <w:link w:val="Heading6Char"/>
    <w:qFormat/>
    <w:rsid w:val="00AB1982"/>
    <w:pPr>
      <w:numPr>
        <w:ilvl w:val="5"/>
        <w:numId w:val="2"/>
      </w:numPr>
      <w:spacing w:before="240" w:after="60"/>
      <w:outlineLvl w:val="5"/>
    </w:pPr>
    <w:rPr>
      <w:i/>
    </w:rPr>
  </w:style>
  <w:style w:type="paragraph" w:styleId="Heading7">
    <w:name w:val="heading 7"/>
    <w:basedOn w:val="Normal"/>
    <w:next w:val="Normal"/>
    <w:link w:val="Heading7Char"/>
    <w:qFormat/>
    <w:rsid w:val="00AB1982"/>
    <w:pPr>
      <w:numPr>
        <w:ilvl w:val="6"/>
        <w:numId w:val="2"/>
      </w:numPr>
      <w:spacing w:before="240" w:after="60"/>
      <w:outlineLvl w:val="6"/>
    </w:pPr>
  </w:style>
  <w:style w:type="paragraph" w:styleId="Heading8">
    <w:name w:val="heading 8"/>
    <w:basedOn w:val="Normal"/>
    <w:next w:val="Normal"/>
    <w:link w:val="Heading8Char"/>
    <w:qFormat/>
    <w:rsid w:val="00AB1982"/>
    <w:pPr>
      <w:numPr>
        <w:ilvl w:val="7"/>
        <w:numId w:val="2"/>
      </w:numPr>
      <w:spacing w:before="240" w:after="60"/>
      <w:outlineLvl w:val="7"/>
    </w:pPr>
    <w:rPr>
      <w:i/>
    </w:rPr>
  </w:style>
  <w:style w:type="paragraph" w:styleId="Heading9">
    <w:name w:val="heading 9"/>
    <w:basedOn w:val="Normal"/>
    <w:next w:val="Normal"/>
    <w:link w:val="Heading9Char"/>
    <w:qFormat/>
    <w:rsid w:val="00AB1982"/>
    <w:pPr>
      <w:numPr>
        <w:ilvl w:val="8"/>
        <w:numId w:val="2"/>
      </w:numPr>
      <w:spacing w:line="20" w:lineRule="exact"/>
      <w:outlineLvl w:val="8"/>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B1982"/>
    <w:pPr>
      <w:spacing w:after="120"/>
    </w:pPr>
    <w:rPr>
      <w:rFonts w:ascii="Verdana" w:hAnsi="Verdana" w:cs="Arial"/>
      <w:lang w:val="en-CA" w:eastAsia="en-US"/>
    </w:rPr>
  </w:style>
  <w:style w:type="paragraph" w:styleId="Header">
    <w:name w:val="header"/>
    <w:basedOn w:val="Normal"/>
    <w:link w:val="HeaderChar"/>
    <w:rsid w:val="00C76CC4"/>
    <w:pPr>
      <w:tabs>
        <w:tab w:val="center" w:pos="4320"/>
        <w:tab w:val="right" w:pos="8640"/>
      </w:tabs>
    </w:pPr>
    <w:rPr>
      <w:rFonts w:eastAsia="Times"/>
    </w:rPr>
  </w:style>
  <w:style w:type="paragraph" w:styleId="EnvelopeAddress">
    <w:name w:val="envelope address"/>
    <w:basedOn w:val="Normal"/>
    <w:rsid w:val="00AB1982"/>
    <w:pPr>
      <w:framePr w:w="7920" w:h="1980" w:hRule="exact" w:hSpace="180" w:wrap="auto" w:hAnchor="page" w:xAlign="center" w:yAlign="bottom"/>
      <w:ind w:left="2880"/>
    </w:pPr>
    <w:rPr>
      <w:sz w:val="24"/>
    </w:rPr>
  </w:style>
  <w:style w:type="paragraph" w:styleId="EnvelopeReturn">
    <w:name w:val="envelope return"/>
    <w:basedOn w:val="Normal"/>
    <w:rsid w:val="00AB1982"/>
  </w:style>
  <w:style w:type="paragraph" w:styleId="Index1">
    <w:name w:val="index 1"/>
    <w:basedOn w:val="Normal"/>
    <w:next w:val="Normal"/>
    <w:autoRedefine/>
    <w:semiHidden/>
    <w:rsid w:val="00AB1982"/>
    <w:pPr>
      <w:ind w:left="220" w:hanging="220"/>
    </w:pPr>
  </w:style>
  <w:style w:type="paragraph" w:styleId="IndexHeading">
    <w:name w:val="index heading"/>
    <w:basedOn w:val="Normal"/>
    <w:next w:val="Index1"/>
    <w:semiHidden/>
    <w:rsid w:val="00AB1982"/>
    <w:rPr>
      <w:b/>
    </w:rPr>
  </w:style>
  <w:style w:type="paragraph" w:styleId="MessageHeader">
    <w:name w:val="Message Header"/>
    <w:basedOn w:val="Normal"/>
    <w:rsid w:val="0049469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PlainText">
    <w:name w:val="Plain Text"/>
    <w:basedOn w:val="Normal"/>
    <w:rsid w:val="00AB1982"/>
  </w:style>
  <w:style w:type="paragraph" w:styleId="Subtitle">
    <w:name w:val="Subtitle"/>
    <w:basedOn w:val="Normal"/>
    <w:qFormat/>
    <w:rsid w:val="0049469F"/>
    <w:pPr>
      <w:spacing w:after="60"/>
      <w:jc w:val="center"/>
      <w:outlineLvl w:val="1"/>
    </w:pPr>
    <w:rPr>
      <w:b/>
      <w:sz w:val="24"/>
    </w:rPr>
  </w:style>
  <w:style w:type="paragraph" w:styleId="Title">
    <w:name w:val="Title"/>
    <w:basedOn w:val="Normal"/>
    <w:next w:val="BodyText"/>
    <w:qFormat/>
    <w:rsid w:val="00932DE7"/>
    <w:pPr>
      <w:spacing w:after="280"/>
      <w:outlineLvl w:val="0"/>
    </w:pPr>
    <w:rPr>
      <w:b/>
      <w:sz w:val="28"/>
    </w:rPr>
  </w:style>
  <w:style w:type="paragraph" w:styleId="TOAHeading">
    <w:name w:val="toa heading"/>
    <w:basedOn w:val="Normal"/>
    <w:next w:val="Normal"/>
    <w:semiHidden/>
    <w:rsid w:val="00AB1982"/>
    <w:pPr>
      <w:spacing w:before="120"/>
    </w:pPr>
    <w:rPr>
      <w:b/>
      <w:sz w:val="24"/>
    </w:rPr>
  </w:style>
  <w:style w:type="paragraph" w:styleId="Footer">
    <w:name w:val="footer"/>
    <w:basedOn w:val="Normal"/>
    <w:link w:val="FooterChar"/>
    <w:uiPriority w:val="99"/>
    <w:rsid w:val="00480FBC"/>
    <w:pPr>
      <w:tabs>
        <w:tab w:val="center" w:pos="4320"/>
        <w:tab w:val="right" w:pos="8640"/>
      </w:tabs>
    </w:pPr>
    <w:rPr>
      <w:rFonts w:eastAsia="Times"/>
      <w:sz w:val="16"/>
    </w:rPr>
  </w:style>
  <w:style w:type="character" w:styleId="PageNumber">
    <w:name w:val="page number"/>
    <w:basedOn w:val="DefaultParagraphFont"/>
    <w:rsid w:val="00AB1982"/>
    <w:rPr>
      <w:rFonts w:ascii="Verdana" w:hAnsi="Verdana"/>
      <w:color w:val="auto"/>
      <w:spacing w:val="0"/>
      <w:position w:val="0"/>
      <w:sz w:val="16"/>
    </w:rPr>
  </w:style>
  <w:style w:type="paragraph" w:customStyle="1" w:styleId="Annex">
    <w:name w:val="Annex"/>
    <w:basedOn w:val="Normal"/>
    <w:next w:val="Normal"/>
    <w:autoRedefine/>
    <w:rsid w:val="006E5FFC"/>
    <w:pPr>
      <w:keepNext/>
      <w:spacing w:after="240"/>
      <w:ind w:right="-45"/>
    </w:pPr>
    <w:rPr>
      <w:b/>
      <w:kern w:val="28"/>
      <w:sz w:val="28"/>
      <w:szCs w:val="24"/>
    </w:rPr>
  </w:style>
  <w:style w:type="paragraph" w:customStyle="1" w:styleId="Appendix">
    <w:name w:val="Appendix"/>
    <w:next w:val="Normal"/>
    <w:autoRedefine/>
    <w:rsid w:val="00932DE7"/>
    <w:pPr>
      <w:spacing w:after="280"/>
    </w:pPr>
    <w:rPr>
      <w:rFonts w:ascii="Verdana" w:hAnsi="Verdana" w:cs="Arial"/>
      <w:b/>
      <w:bCs/>
      <w:sz w:val="28"/>
      <w:szCs w:val="28"/>
      <w:lang w:val="en-CA" w:eastAsia="en-US"/>
    </w:rPr>
  </w:style>
  <w:style w:type="character" w:styleId="EndnoteReference">
    <w:name w:val="endnote reference"/>
    <w:basedOn w:val="DefaultParagraphFont"/>
    <w:semiHidden/>
    <w:rsid w:val="00AB1982"/>
    <w:rPr>
      <w:vertAlign w:val="superscript"/>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fr"/>
    <w:basedOn w:val="DefaultParagraphFont"/>
    <w:link w:val="BVIfnrCarCar"/>
    <w:uiPriority w:val="99"/>
    <w:qFormat/>
    <w:rsid w:val="00AB1982"/>
    <w:rPr>
      <w:vertAlign w:val="superscript"/>
    </w:rPr>
  </w:style>
  <w:style w:type="paragraph" w:styleId="FootnoteText">
    <w:name w:val="footnote text"/>
    <w:aliases w:val="Footnote Text Char1,Footnote Text Char Char,Footnote Text Char2 Char Char,Footnote Text Char Char2 Char Char,Footnote Text Char2 Char Char1 Char Char,Footnote Text Char1 Char Char Char Char Char,Texto nota pie Car,ft,f,single space,fn"/>
    <w:basedOn w:val="Normal"/>
    <w:link w:val="FootnoteTextChar"/>
    <w:uiPriority w:val="99"/>
    <w:qFormat/>
    <w:rsid w:val="003C1E6E"/>
    <w:pPr>
      <w:tabs>
        <w:tab w:val="left" w:pos="737"/>
      </w:tabs>
      <w:ind w:left="567"/>
    </w:pPr>
    <w:rPr>
      <w:rFonts w:ascii="Arial" w:hAnsi="Arial"/>
      <w:color w:val="000000"/>
      <w:sz w:val="16"/>
    </w:rPr>
  </w:style>
  <w:style w:type="paragraph" w:customStyle="1" w:styleId="Mainbody">
    <w:name w:val="Main body"/>
    <w:basedOn w:val="Normal"/>
    <w:rsid w:val="002810B2"/>
  </w:style>
  <w:style w:type="paragraph" w:customStyle="1" w:styleId="Heading2noTOC">
    <w:name w:val="Heading2_noTOC"/>
    <w:next w:val="BodyText"/>
    <w:rsid w:val="0093195F"/>
    <w:pPr>
      <w:numPr>
        <w:numId w:val="7"/>
      </w:numPr>
      <w:spacing w:after="120"/>
    </w:pPr>
    <w:rPr>
      <w:rFonts w:ascii="Verdana" w:hAnsi="Verdana" w:cs="Arial"/>
      <w:b/>
      <w:sz w:val="24"/>
      <w:lang w:val="en-CA" w:eastAsia="en-US"/>
    </w:rPr>
  </w:style>
  <w:style w:type="paragraph" w:customStyle="1" w:styleId="Heading3noTOC">
    <w:name w:val="Heading3_noTOC"/>
    <w:basedOn w:val="Heading3"/>
    <w:next w:val="BodyText"/>
    <w:rsid w:val="00932DE7"/>
    <w:pPr>
      <w:outlineLvl w:val="9"/>
    </w:pPr>
  </w:style>
  <w:style w:type="paragraph" w:styleId="TableofFigures">
    <w:name w:val="table of figures"/>
    <w:aliases w:val="Table of Appendices"/>
    <w:basedOn w:val="Normal"/>
    <w:next w:val="Normal"/>
    <w:autoRedefine/>
    <w:uiPriority w:val="99"/>
    <w:rsid w:val="00C9071C"/>
    <w:pPr>
      <w:numPr>
        <w:numId w:val="4"/>
      </w:numPr>
      <w:tabs>
        <w:tab w:val="left" w:pos="680"/>
        <w:tab w:val="right" w:pos="8505"/>
      </w:tabs>
      <w:spacing w:before="80" w:after="80"/>
      <w:ind w:left="567" w:hanging="567"/>
    </w:pPr>
    <w:rPr>
      <w:szCs w:val="22"/>
    </w:rPr>
  </w:style>
  <w:style w:type="paragraph" w:styleId="TOC1">
    <w:name w:val="toc 1"/>
    <w:basedOn w:val="Normal"/>
    <w:next w:val="Normal"/>
    <w:autoRedefine/>
    <w:uiPriority w:val="39"/>
    <w:qFormat/>
    <w:rsid w:val="00722194"/>
    <w:pPr>
      <w:tabs>
        <w:tab w:val="left" w:pos="680"/>
        <w:tab w:val="right" w:pos="8505"/>
      </w:tabs>
      <w:spacing w:before="80" w:after="80"/>
      <w:ind w:left="680" w:hanging="680"/>
    </w:pPr>
    <w:rPr>
      <w:b/>
    </w:rPr>
  </w:style>
  <w:style w:type="paragraph" w:styleId="TOC2">
    <w:name w:val="toc 2"/>
    <w:basedOn w:val="Normal"/>
    <w:next w:val="Normal"/>
    <w:autoRedefine/>
    <w:uiPriority w:val="39"/>
    <w:qFormat/>
    <w:rsid w:val="00722194"/>
    <w:pPr>
      <w:tabs>
        <w:tab w:val="left" w:pos="851"/>
        <w:tab w:val="right" w:pos="8505"/>
      </w:tabs>
      <w:ind w:left="964" w:right="1134" w:hanging="284"/>
    </w:pPr>
  </w:style>
  <w:style w:type="paragraph" w:styleId="TOC3">
    <w:name w:val="toc 3"/>
    <w:basedOn w:val="Normal"/>
    <w:next w:val="Normal"/>
    <w:rsid w:val="00AB1982"/>
    <w:pPr>
      <w:tabs>
        <w:tab w:val="right" w:leader="dot" w:pos="9027"/>
      </w:tabs>
      <w:ind w:left="440"/>
    </w:pPr>
  </w:style>
  <w:style w:type="paragraph" w:styleId="TOC4">
    <w:name w:val="toc 4"/>
    <w:basedOn w:val="Normal"/>
    <w:next w:val="Normal"/>
    <w:semiHidden/>
    <w:rsid w:val="00AB1982"/>
    <w:pPr>
      <w:tabs>
        <w:tab w:val="right" w:leader="dot" w:pos="9027"/>
      </w:tabs>
      <w:ind w:left="660"/>
    </w:pPr>
  </w:style>
  <w:style w:type="paragraph" w:styleId="TOC5">
    <w:name w:val="toc 5"/>
    <w:basedOn w:val="Normal"/>
    <w:next w:val="Normal"/>
    <w:semiHidden/>
    <w:rsid w:val="00AB1982"/>
    <w:pPr>
      <w:tabs>
        <w:tab w:val="right" w:leader="dot" w:pos="9027"/>
      </w:tabs>
      <w:ind w:left="880"/>
    </w:pPr>
  </w:style>
  <w:style w:type="paragraph" w:styleId="TOC6">
    <w:name w:val="toc 6"/>
    <w:basedOn w:val="Normal"/>
    <w:next w:val="Normal"/>
    <w:semiHidden/>
    <w:rsid w:val="00AB1982"/>
    <w:pPr>
      <w:tabs>
        <w:tab w:val="right" w:leader="dot" w:pos="9027"/>
      </w:tabs>
      <w:ind w:left="1100"/>
    </w:pPr>
  </w:style>
  <w:style w:type="paragraph" w:styleId="TOC7">
    <w:name w:val="toc 7"/>
    <w:basedOn w:val="Normal"/>
    <w:next w:val="Normal"/>
    <w:semiHidden/>
    <w:rsid w:val="00AB1982"/>
    <w:pPr>
      <w:tabs>
        <w:tab w:val="right" w:leader="dot" w:pos="9027"/>
      </w:tabs>
      <w:ind w:left="1320"/>
    </w:pPr>
  </w:style>
  <w:style w:type="paragraph" w:styleId="TOC8">
    <w:name w:val="toc 8"/>
    <w:basedOn w:val="Normal"/>
    <w:next w:val="Normal"/>
    <w:semiHidden/>
    <w:rsid w:val="00AB1982"/>
    <w:pPr>
      <w:tabs>
        <w:tab w:val="right" w:leader="dot" w:pos="9027"/>
      </w:tabs>
      <w:ind w:left="1540"/>
    </w:pPr>
  </w:style>
  <w:style w:type="paragraph" w:styleId="TOC9">
    <w:name w:val="toc 9"/>
    <w:basedOn w:val="Normal"/>
    <w:next w:val="Normal"/>
    <w:semiHidden/>
    <w:rsid w:val="00AB1982"/>
    <w:pPr>
      <w:tabs>
        <w:tab w:val="right" w:leader="dot" w:pos="9027"/>
      </w:tabs>
      <w:ind w:left="1760"/>
    </w:pPr>
  </w:style>
  <w:style w:type="paragraph" w:customStyle="1" w:styleId="IntroductoryPages">
    <w:name w:val="Introductory Pages"/>
    <w:basedOn w:val="Normal"/>
    <w:rsid w:val="00C76CC4"/>
    <w:pPr>
      <w:spacing w:line="20" w:lineRule="exact"/>
    </w:pPr>
  </w:style>
  <w:style w:type="paragraph" w:customStyle="1" w:styleId="CoverPage">
    <w:name w:val="Cover Page"/>
    <w:basedOn w:val="Normal"/>
    <w:rsid w:val="00623116"/>
  </w:style>
  <w:style w:type="paragraph" w:customStyle="1" w:styleId="TableofContents">
    <w:name w:val="Table of Contents"/>
    <w:basedOn w:val="Normal"/>
    <w:rsid w:val="00367275"/>
    <w:rPr>
      <w:sz w:val="22"/>
    </w:rPr>
  </w:style>
  <w:style w:type="paragraph" w:customStyle="1" w:styleId="PartI">
    <w:name w:val="Part I"/>
    <w:basedOn w:val="Normal"/>
    <w:rsid w:val="00C76CC4"/>
    <w:pPr>
      <w:spacing w:line="20" w:lineRule="exact"/>
    </w:pPr>
  </w:style>
  <w:style w:type="paragraph" w:customStyle="1" w:styleId="PartII">
    <w:name w:val="Part II"/>
    <w:basedOn w:val="Normal"/>
    <w:rsid w:val="00C76CC4"/>
    <w:pPr>
      <w:spacing w:line="20" w:lineRule="exact"/>
    </w:pPr>
  </w:style>
  <w:style w:type="paragraph" w:customStyle="1" w:styleId="PartIII">
    <w:name w:val="Part III"/>
    <w:basedOn w:val="Normal"/>
    <w:rsid w:val="00AB1982"/>
    <w:pPr>
      <w:spacing w:line="20" w:lineRule="exact"/>
    </w:pPr>
  </w:style>
  <w:style w:type="paragraph" w:customStyle="1" w:styleId="PartIV">
    <w:name w:val="Part IV"/>
    <w:basedOn w:val="Normal"/>
    <w:rsid w:val="00AB1982"/>
    <w:pPr>
      <w:spacing w:line="20" w:lineRule="exact"/>
    </w:pPr>
  </w:style>
  <w:style w:type="paragraph" w:customStyle="1" w:styleId="Tables">
    <w:name w:val="Tables"/>
    <w:basedOn w:val="Normal"/>
    <w:autoRedefine/>
    <w:qFormat/>
    <w:rsid w:val="00E4056F"/>
    <w:pPr>
      <w:ind w:left="567"/>
    </w:pPr>
    <w:rPr>
      <w:rFonts w:ascii="Arial" w:hAnsi="Arial"/>
      <w:sz w:val="16"/>
    </w:rPr>
  </w:style>
  <w:style w:type="table" w:styleId="TableProfessional">
    <w:name w:val="Table Professional"/>
    <w:basedOn w:val="TableNormal"/>
    <w:semiHidden/>
    <w:rsid w:val="00AB19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AB1982"/>
    <w:rPr>
      <w:color w:val="0000FF"/>
      <w:u w:val="single"/>
    </w:rPr>
  </w:style>
  <w:style w:type="paragraph" w:customStyle="1" w:styleId="IFADparagraphnumbering">
    <w:name w:val="IFAD paragraph numbering"/>
    <w:basedOn w:val="Normal"/>
    <w:link w:val="IFADparagraphnumberingChar"/>
    <w:qFormat/>
    <w:rsid w:val="00CF7668"/>
    <w:pPr>
      <w:numPr>
        <w:numId w:val="8"/>
      </w:numPr>
      <w:tabs>
        <w:tab w:val="left" w:pos="1134"/>
      </w:tabs>
      <w:suppressAutoHyphens/>
      <w:spacing w:after="120"/>
    </w:pPr>
    <w:rPr>
      <w:kern w:val="2"/>
    </w:rPr>
  </w:style>
  <w:style w:type="paragraph" w:customStyle="1" w:styleId="IFADparagraphno2ndlevel">
    <w:name w:val="IFAD paragraph no. 2nd level"/>
    <w:basedOn w:val="Normal"/>
    <w:qFormat/>
    <w:rsid w:val="00CF7668"/>
    <w:pPr>
      <w:numPr>
        <w:ilvl w:val="1"/>
        <w:numId w:val="8"/>
      </w:numPr>
      <w:spacing w:after="120"/>
    </w:pPr>
  </w:style>
  <w:style w:type="paragraph" w:customStyle="1" w:styleId="IFADparagraphno3rdlevel">
    <w:name w:val="IFAD paragraph no. 3rd level"/>
    <w:basedOn w:val="Normal"/>
    <w:rsid w:val="00CF7668"/>
    <w:pPr>
      <w:numPr>
        <w:ilvl w:val="2"/>
        <w:numId w:val="8"/>
      </w:numPr>
      <w:spacing w:after="120"/>
    </w:pPr>
  </w:style>
  <w:style w:type="paragraph" w:customStyle="1" w:styleId="IFADparagraphno4thlevel">
    <w:name w:val="IFAD paragraph no. 4th level"/>
    <w:basedOn w:val="Normal"/>
    <w:qFormat/>
    <w:rsid w:val="00CF7668"/>
    <w:pPr>
      <w:numPr>
        <w:ilvl w:val="3"/>
        <w:numId w:val="8"/>
      </w:numPr>
    </w:pPr>
  </w:style>
  <w:style w:type="paragraph" w:customStyle="1" w:styleId="LoanTerms">
    <w:name w:val="Loan Terms"/>
    <w:basedOn w:val="Normal"/>
    <w:rsid w:val="00C76CC4"/>
  </w:style>
  <w:style w:type="paragraph" w:customStyle="1" w:styleId="DocumentTitle">
    <w:name w:val="Document Title"/>
    <w:basedOn w:val="Normal"/>
    <w:next w:val="Normal"/>
    <w:autoRedefine/>
    <w:rsid w:val="009A7C4D"/>
    <w:pPr>
      <w:tabs>
        <w:tab w:val="left" w:pos="890"/>
      </w:tabs>
      <w:spacing w:after="240"/>
      <w:ind w:firstLine="284"/>
    </w:pPr>
    <w:rPr>
      <w:b/>
      <w:bCs/>
      <w:sz w:val="28"/>
      <w:szCs w:val="32"/>
      <w:lang w:eastAsia="en-GB"/>
    </w:rPr>
  </w:style>
  <w:style w:type="table" w:styleId="TableGrid">
    <w:name w:val="Table Grid"/>
    <w:basedOn w:val="TableNormal"/>
    <w:uiPriority w:val="59"/>
    <w:rsid w:val="00AB19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rsid w:val="00B40BCC"/>
    <w:pPr>
      <w:numPr>
        <w:numId w:val="1"/>
      </w:numPr>
      <w:spacing w:after="120"/>
    </w:pPr>
    <w:rPr>
      <w:rFonts w:ascii="Verdana" w:hAnsi="Verdana" w:cs="Arial"/>
      <w:lang w:val="en-CA" w:eastAsia="en-US"/>
    </w:rPr>
  </w:style>
  <w:style w:type="paragraph" w:styleId="DocumentMap">
    <w:name w:val="Document Map"/>
    <w:basedOn w:val="Normal"/>
    <w:semiHidden/>
    <w:rsid w:val="00AB1982"/>
    <w:pPr>
      <w:shd w:val="clear" w:color="auto" w:fill="C6D5EC"/>
    </w:pPr>
    <w:rPr>
      <w:rFonts w:ascii="Lucida Grande" w:hAnsi="Lucida Grande"/>
      <w:sz w:val="24"/>
      <w:szCs w:val="24"/>
    </w:rPr>
  </w:style>
  <w:style w:type="paragraph" w:customStyle="1" w:styleId="Heading">
    <w:name w:val="Heading"/>
    <w:basedOn w:val="Normal"/>
    <w:autoRedefine/>
    <w:rsid w:val="00932DE7"/>
    <w:pPr>
      <w:spacing w:after="280"/>
    </w:pPr>
    <w:rPr>
      <w:b/>
      <w:bCs/>
      <w:sz w:val="28"/>
      <w:szCs w:val="32"/>
    </w:rPr>
  </w:style>
  <w:style w:type="paragraph" w:customStyle="1" w:styleId="IFADIntroductorypages">
    <w:name w:val="IFAD Introductory pages"/>
    <w:basedOn w:val="Normal"/>
    <w:rsid w:val="00C76CC4"/>
    <w:pPr>
      <w:tabs>
        <w:tab w:val="left" w:pos="630"/>
      </w:tabs>
      <w:spacing w:after="160"/>
      <w:ind w:left="3402" w:right="1418"/>
    </w:pPr>
    <w:rPr>
      <w:rFonts w:ascii="Arial" w:hAnsi="Arial"/>
      <w:spacing w:val="-6"/>
      <w:kern w:val="2"/>
      <w:sz w:val="18"/>
    </w:rPr>
  </w:style>
  <w:style w:type="paragraph" w:customStyle="1" w:styleId="IFADLogo">
    <w:name w:val="IFAD Logo"/>
    <w:basedOn w:val="Normal"/>
    <w:rsid w:val="00C76CC4"/>
    <w:pPr>
      <w:ind w:left="3686"/>
    </w:pPr>
    <w:rPr>
      <w:rFonts w:ascii="Arial" w:hAnsi="Arial"/>
      <w:sz w:val="24"/>
      <w:szCs w:val="24"/>
      <w:lang w:eastAsia="en-GB"/>
    </w:rPr>
  </w:style>
  <w:style w:type="paragraph" w:customStyle="1" w:styleId="ifadindent">
    <w:name w:val="ifadindent"/>
    <w:semiHidden/>
    <w:rsid w:val="00C76CC4"/>
    <w:pPr>
      <w:numPr>
        <w:numId w:val="3"/>
      </w:numPr>
      <w:spacing w:after="120"/>
    </w:pPr>
    <w:rPr>
      <w:rFonts w:ascii="Verdana" w:hAnsi="Verdana" w:cs="Arial"/>
      <w:kern w:val="2"/>
      <w:lang w:val="en-CA" w:eastAsia="en-US"/>
    </w:rPr>
  </w:style>
  <w:style w:type="paragraph" w:customStyle="1" w:styleId="Introheaders">
    <w:name w:val="Intro headers"/>
    <w:next w:val="BodyText"/>
    <w:rsid w:val="00C76CC4"/>
    <w:pPr>
      <w:keepNext/>
      <w:spacing w:before="1600" w:after="240"/>
      <w:outlineLvl w:val="0"/>
    </w:pPr>
    <w:rPr>
      <w:rFonts w:ascii="Verdana" w:hAnsi="Verdana" w:cs="Arial"/>
      <w:b/>
      <w:sz w:val="28"/>
      <w:lang w:val="en-CA" w:eastAsia="en-US"/>
    </w:rPr>
  </w:style>
  <w:style w:type="paragraph" w:customStyle="1" w:styleId="IntroheadernoTOC">
    <w:name w:val="Intro header_noTOC"/>
    <w:basedOn w:val="Introheaders"/>
    <w:rsid w:val="00C76CC4"/>
    <w:pPr>
      <w:outlineLvl w:val="9"/>
    </w:pPr>
  </w:style>
  <w:style w:type="paragraph" w:customStyle="1" w:styleId="IntroText">
    <w:name w:val="Intro Text"/>
    <w:basedOn w:val="Normal"/>
    <w:rsid w:val="00C76CC4"/>
    <w:pPr>
      <w:tabs>
        <w:tab w:val="left" w:pos="851"/>
        <w:tab w:val="left" w:pos="1559"/>
        <w:tab w:val="left" w:pos="1701"/>
      </w:tabs>
      <w:spacing w:after="80"/>
      <w:ind w:left="1701" w:right="567"/>
    </w:pPr>
    <w:rPr>
      <w:szCs w:val="22"/>
      <w:lang w:eastAsia="en-GB"/>
    </w:rPr>
  </w:style>
  <w:style w:type="paragraph" w:customStyle="1" w:styleId="Note">
    <w:name w:val="Note"/>
    <w:next w:val="BodyText"/>
    <w:rsid w:val="00C76CC4"/>
    <w:pPr>
      <w:keepNext/>
      <w:spacing w:before="1600" w:after="240"/>
      <w:outlineLvl w:val="0"/>
    </w:pPr>
    <w:rPr>
      <w:rFonts w:ascii="Verdana" w:hAnsi="Verdana" w:cs="Arial"/>
      <w:b/>
      <w:sz w:val="28"/>
      <w:lang w:val="en-CA" w:eastAsia="en-US"/>
    </w:rPr>
  </w:style>
  <w:style w:type="paragraph" w:customStyle="1" w:styleId="Notebody">
    <w:name w:val="Note body"/>
    <w:basedOn w:val="BodyText"/>
    <w:next w:val="BodyText"/>
    <w:rsid w:val="00C76CC4"/>
    <w:pPr>
      <w:spacing w:after="240"/>
    </w:pPr>
  </w:style>
  <w:style w:type="paragraph" w:customStyle="1" w:styleId="TypeofDocument2">
    <w:name w:val="Type of Document2"/>
    <w:basedOn w:val="Normal"/>
    <w:semiHidden/>
    <w:rsid w:val="00AB1982"/>
    <w:pPr>
      <w:tabs>
        <w:tab w:val="left" w:pos="890"/>
      </w:tabs>
      <w:spacing w:line="276" w:lineRule="auto"/>
      <w:jc w:val="center"/>
    </w:pPr>
    <w:rPr>
      <w:b/>
      <w:bCs/>
      <w:sz w:val="28"/>
      <w:szCs w:val="36"/>
    </w:rPr>
  </w:style>
  <w:style w:type="paragraph" w:customStyle="1" w:styleId="Tablebullets">
    <w:name w:val="Table bullets"/>
    <w:basedOn w:val="bullets"/>
    <w:rsid w:val="00AB1982"/>
    <w:pPr>
      <w:numPr>
        <w:numId w:val="0"/>
      </w:numPr>
      <w:spacing w:after="0"/>
    </w:pPr>
    <w:rPr>
      <w:rFonts w:ascii="Arial" w:hAnsi="Arial"/>
      <w:sz w:val="16"/>
    </w:rPr>
  </w:style>
  <w:style w:type="paragraph" w:customStyle="1" w:styleId="TableofAnnexes">
    <w:name w:val="Table of Annexes"/>
    <w:basedOn w:val="TableofFigures"/>
    <w:next w:val="Normal"/>
    <w:rsid w:val="00367275"/>
    <w:pPr>
      <w:numPr>
        <w:numId w:val="0"/>
      </w:numPr>
    </w:pPr>
    <w:rPr>
      <w:noProof/>
      <w:sz w:val="22"/>
    </w:rPr>
  </w:style>
  <w:style w:type="paragraph" w:customStyle="1" w:styleId="TableTitle">
    <w:name w:val="Table Title"/>
    <w:basedOn w:val="Appendix"/>
    <w:autoRedefine/>
    <w:rsid w:val="005828DA"/>
    <w:pPr>
      <w:spacing w:after="120"/>
    </w:pPr>
    <w:rPr>
      <w:rFonts w:ascii="Arial" w:hAnsi="Arial"/>
      <w:sz w:val="18"/>
      <w:szCs w:val="22"/>
    </w:rPr>
  </w:style>
  <w:style w:type="paragraph" w:customStyle="1" w:styleId="TablesTitle">
    <w:name w:val="TablesTitle"/>
    <w:basedOn w:val="Normal"/>
    <w:rsid w:val="00A82064"/>
    <w:pPr>
      <w:keepNext/>
      <w:spacing w:after="240"/>
      <w:ind w:left="567"/>
    </w:pPr>
    <w:rPr>
      <w:rFonts w:ascii="Arial" w:hAnsi="Arial"/>
      <w:b/>
      <w:sz w:val="18"/>
    </w:rPr>
  </w:style>
  <w:style w:type="paragraph" w:customStyle="1" w:styleId="Heading1noTOC">
    <w:name w:val="Heading 1_noTOC"/>
    <w:next w:val="BodyText"/>
    <w:autoRedefine/>
    <w:rsid w:val="00FB4189"/>
    <w:pPr>
      <w:numPr>
        <w:numId w:val="6"/>
      </w:numPr>
      <w:spacing w:after="80"/>
    </w:pPr>
    <w:rPr>
      <w:rFonts w:ascii="Verdana" w:hAnsi="Verdana" w:cs="Arial"/>
      <w:b/>
      <w:sz w:val="28"/>
      <w:lang w:val="en-CA" w:eastAsia="en-US"/>
    </w:rPr>
  </w:style>
  <w:style w:type="paragraph" w:customStyle="1" w:styleId="Heading1noNum">
    <w:name w:val="Heading 1_noNum"/>
    <w:basedOn w:val="Title"/>
    <w:next w:val="BodyText"/>
    <w:autoRedefine/>
    <w:rsid w:val="000C156E"/>
    <w:pPr>
      <w:spacing w:after="360"/>
    </w:pPr>
  </w:style>
  <w:style w:type="paragraph" w:customStyle="1" w:styleId="TitlenoTOC">
    <w:name w:val="Title_noTOC"/>
    <w:next w:val="BodyText"/>
    <w:rsid w:val="00656964"/>
    <w:pPr>
      <w:spacing w:after="500"/>
    </w:pPr>
    <w:rPr>
      <w:rFonts w:ascii="Verdana" w:hAnsi="Verdana" w:cs="Arial"/>
      <w:b/>
      <w:sz w:val="28"/>
      <w:lang w:val="en-CA" w:eastAsia="en-US"/>
    </w:rPr>
  </w:style>
  <w:style w:type="paragraph" w:customStyle="1" w:styleId="Heading1noTOCNoNum">
    <w:name w:val="Heading1_noTOC_NoNum"/>
    <w:next w:val="BodyText"/>
    <w:rsid w:val="00932DE7"/>
    <w:pPr>
      <w:keepNext/>
      <w:spacing w:after="80"/>
      <w:ind w:left="454"/>
    </w:pPr>
    <w:rPr>
      <w:rFonts w:ascii="Verdana" w:eastAsia="Times" w:hAnsi="Verdana" w:cs="Arial"/>
      <w:b/>
      <w:sz w:val="28"/>
      <w:lang w:val="en-CA" w:eastAsia="en-US"/>
    </w:rPr>
  </w:style>
  <w:style w:type="paragraph" w:customStyle="1" w:styleId="Heading2noTOCNoNum">
    <w:name w:val="Heading2_noTOC_NoNum"/>
    <w:next w:val="BodyText"/>
    <w:rsid w:val="00986823"/>
    <w:pPr>
      <w:spacing w:after="80"/>
      <w:ind w:left="567"/>
    </w:pPr>
    <w:rPr>
      <w:rFonts w:ascii="Verdana" w:hAnsi="Verdana" w:cs="Arial"/>
      <w:b/>
      <w:sz w:val="24"/>
      <w:lang w:val="en-CA" w:eastAsia="en-US"/>
    </w:rPr>
  </w:style>
  <w:style w:type="paragraph" w:customStyle="1" w:styleId="Introduction">
    <w:name w:val="Introduction"/>
    <w:next w:val="BodyText"/>
    <w:rsid w:val="00A10E67"/>
    <w:rPr>
      <w:rFonts w:ascii="Verdana" w:hAnsi="Verdana" w:cs="Arial"/>
      <w:sz w:val="2"/>
      <w:lang w:eastAsia="en-US"/>
    </w:rPr>
  </w:style>
  <w:style w:type="paragraph" w:customStyle="1" w:styleId="Introductorypages0">
    <w:name w:val="Introductory pages"/>
    <w:rsid w:val="00A10E67"/>
    <w:pPr>
      <w:spacing w:before="40"/>
      <w:jc w:val="both"/>
    </w:pPr>
    <w:rPr>
      <w:rFonts w:ascii="Verdana" w:hAnsi="Verdana"/>
      <w:sz w:val="16"/>
      <w:lang w:val="en-CA" w:eastAsia="en-US"/>
    </w:rPr>
  </w:style>
  <w:style w:type="paragraph" w:customStyle="1" w:styleId="Mainreport">
    <w:name w:val="Main report"/>
    <w:rsid w:val="00EA4F21"/>
    <w:rPr>
      <w:rFonts w:ascii="Verdana" w:hAnsi="Verdana" w:cs="Arial"/>
      <w:sz w:val="2"/>
      <w:szCs w:val="2"/>
      <w:lang w:val="en-CA" w:eastAsia="en-US"/>
    </w:rPr>
  </w:style>
  <w:style w:type="paragraph" w:customStyle="1" w:styleId="StyleLatinItalicLinespacingAtleast12pt">
    <w:name w:val="Style (Latin) Italic Line spacing:  At least 12 pt"/>
    <w:basedOn w:val="Normal"/>
    <w:next w:val="Normal"/>
    <w:rsid w:val="00280F1B"/>
    <w:rPr>
      <w:i/>
    </w:rPr>
  </w:style>
  <w:style w:type="paragraph" w:customStyle="1" w:styleId="Maps">
    <w:name w:val="Maps"/>
    <w:rsid w:val="00280F1B"/>
    <w:rPr>
      <w:rFonts w:ascii="Verdana" w:hAnsi="Verdana" w:cs="Arial"/>
      <w:sz w:val="2"/>
      <w:lang w:val="en-CA" w:eastAsia="en-US"/>
    </w:rPr>
  </w:style>
  <w:style w:type="paragraph" w:styleId="BalloonText">
    <w:name w:val="Balloon Text"/>
    <w:basedOn w:val="Normal"/>
    <w:link w:val="BalloonTextChar"/>
    <w:rsid w:val="00142CB0"/>
    <w:rPr>
      <w:rFonts w:ascii="Tahoma" w:hAnsi="Tahoma" w:cs="Tahoma"/>
      <w:sz w:val="16"/>
      <w:szCs w:val="16"/>
    </w:rPr>
  </w:style>
  <w:style w:type="character" w:customStyle="1" w:styleId="BalloonTextChar">
    <w:name w:val="Balloon Text Char"/>
    <w:basedOn w:val="DefaultParagraphFont"/>
    <w:link w:val="BalloonText"/>
    <w:uiPriority w:val="99"/>
    <w:rsid w:val="00142CB0"/>
    <w:rPr>
      <w:rFonts w:ascii="Tahoma" w:hAnsi="Tahoma" w:cs="Tahoma"/>
      <w:sz w:val="16"/>
      <w:szCs w:val="16"/>
      <w:lang w:val="en-CA" w:eastAsia="en-US"/>
    </w:rPr>
  </w:style>
  <w:style w:type="character" w:customStyle="1" w:styleId="FooterChar">
    <w:name w:val="Footer Char"/>
    <w:basedOn w:val="DefaultParagraphFont"/>
    <w:link w:val="Footer"/>
    <w:uiPriority w:val="99"/>
    <w:rsid w:val="00480FBC"/>
    <w:rPr>
      <w:rFonts w:ascii="Verdana" w:eastAsia="Times" w:hAnsi="Verdana" w:cs="Arial"/>
      <w:sz w:val="16"/>
      <w:lang w:val="en-CA" w:eastAsia="en-US"/>
    </w:rPr>
  </w:style>
  <w:style w:type="character" w:customStyle="1" w:styleId="HeaderChar">
    <w:name w:val="Header Char"/>
    <w:basedOn w:val="DefaultParagraphFont"/>
    <w:link w:val="Header"/>
    <w:rsid w:val="00413D6C"/>
    <w:rPr>
      <w:rFonts w:ascii="Verdana" w:eastAsia="Times" w:hAnsi="Verdana" w:cs="Arial"/>
      <w:lang w:val="en-CA" w:eastAsia="en-US"/>
    </w:rPr>
  </w:style>
  <w:style w:type="character" w:customStyle="1" w:styleId="Heading2Char">
    <w:name w:val="Heading 2 Char"/>
    <w:aliases w:val="Paranum Char,2 Char,Chpt Char,Titolo 2 Char"/>
    <w:basedOn w:val="DefaultParagraphFont"/>
    <w:link w:val="Heading2"/>
    <w:uiPriority w:val="9"/>
    <w:rsid w:val="004139C4"/>
    <w:rPr>
      <w:rFonts w:ascii="Verdana" w:hAnsi="Verdana" w:cs="Arial"/>
      <w:b/>
      <w:sz w:val="24"/>
      <w:lang w:val="en-CA" w:eastAsia="en-US"/>
    </w:rPr>
  </w:style>
  <w:style w:type="character" w:customStyle="1" w:styleId="BodyTextChar">
    <w:name w:val="Body Text Char"/>
    <w:basedOn w:val="DefaultParagraphFont"/>
    <w:link w:val="BodyText"/>
    <w:rsid w:val="006C72E7"/>
    <w:rPr>
      <w:rFonts w:ascii="Verdana" w:hAnsi="Verdana" w:cs="Arial"/>
      <w:lang w:val="en-CA" w:eastAsia="en-US"/>
    </w:rPr>
  </w:style>
  <w:style w:type="character" w:customStyle="1" w:styleId="FootnoteTextChar">
    <w:name w:val="Footnote Text Char"/>
    <w:aliases w:val="Footnote Text Char1 Char,Footnote Text Char Char Char,Footnote Text Char2 Char Char Char,Footnote Text Char Char2 Char Char Char,Footnote Text Char2 Char Char1 Char Char Char,Footnote Text Char1 Char Char Char Char Char Char,ft Char"/>
    <w:basedOn w:val="DefaultParagraphFont"/>
    <w:link w:val="FootnoteText"/>
    <w:uiPriority w:val="99"/>
    <w:locked/>
    <w:rsid w:val="006C72E7"/>
    <w:rPr>
      <w:rFonts w:ascii="Arial" w:eastAsia="MS Mincho" w:hAnsi="Arial" w:cs="Arial"/>
      <w:color w:val="000000"/>
      <w:sz w:val="16"/>
      <w:lang w:val="en-CA" w:eastAsia="en-US"/>
    </w:rPr>
  </w:style>
  <w:style w:type="paragraph" w:styleId="ListParagraph">
    <w:name w:val="List Paragraph"/>
    <w:aliases w:val="body bullets,Liste 1,List Paragraph1,List Paragraph (numbered (a)),References,Bullets,List Bullet Mary,Numbered List Paragraph,List Paragraph nowy,WB List Paragraph,Ha,Dot pt,F5 List Paragraph,No Spacing1,List Paragraph Char Char Char"/>
    <w:basedOn w:val="Normal"/>
    <w:link w:val="ListParagraphChar"/>
    <w:uiPriority w:val="34"/>
    <w:qFormat/>
    <w:rsid w:val="006C72E7"/>
    <w:pPr>
      <w:ind w:left="720"/>
      <w:contextualSpacing/>
    </w:pPr>
  </w:style>
  <w:style w:type="table" w:styleId="TableClassic1">
    <w:name w:val="Table Classic 1"/>
    <w:aliases w:val="PMD_table_style"/>
    <w:basedOn w:val="TableNormal"/>
    <w:uiPriority w:val="99"/>
    <w:rsid w:val="005B12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16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B316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3">
    <w:name w:val="Table Classic 3"/>
    <w:basedOn w:val="TableNormal"/>
    <w:rsid w:val="00B316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B316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B316E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IOETable">
    <w:name w:val="IOE Table"/>
    <w:basedOn w:val="TableNormal"/>
    <w:uiPriority w:val="99"/>
    <w:rsid w:val="004202CE"/>
    <w:pPr>
      <w:spacing w:before="120" w:after="40"/>
      <w:jc w:val="right"/>
    </w:pPr>
    <w:rPr>
      <w:rFonts w:ascii="Arial" w:hAnsi="Arial" w:cs="Arial"/>
      <w:sz w:val="16"/>
      <w:szCs w:val="16"/>
    </w:rPr>
    <w:tblPr>
      <w:tblStyleRowBandSize w:val="1"/>
      <w:tblInd w:w="567" w:type="dxa"/>
      <w:tblBorders>
        <w:bottom w:val="single" w:sz="12" w:space="0" w:color="auto"/>
      </w:tblBorders>
      <w:tblCellMar>
        <w:left w:w="0" w:type="dxa"/>
      </w:tblCellMar>
    </w:tblPr>
    <w:tblStylePr w:type="firstRow">
      <w:pPr>
        <w:wordWrap/>
        <w:spacing w:beforeLines="0" w:before="80" w:beforeAutospacing="0" w:afterLines="0" w:after="80" w:afterAutospacing="0" w:line="240" w:lineRule="auto"/>
        <w:contextualSpacing w:val="0"/>
      </w:pPr>
      <w:rPr>
        <w:rFonts w:ascii="Arial" w:hAnsi="Arial" w:cs="Arial"/>
        <w:b w:val="0"/>
        <w:bCs w:val="0"/>
        <w:i/>
        <w:iCs/>
        <w:caps w:val="0"/>
        <w:smallCaps w:val="0"/>
        <w:strike w:val="0"/>
        <w:dstrike w:val="0"/>
        <w:vanish w:val="0"/>
        <w:color w:val="auto"/>
        <w:sz w:val="16"/>
        <w:szCs w:val="16"/>
        <w:vertAlign w:val="baseline"/>
      </w:rPr>
      <w:tblPr/>
      <w:tcPr>
        <w:tcBorders>
          <w:top w:val="single" w:sz="8" w:space="0" w:color="auto"/>
          <w:left w:val="nil"/>
          <w:bottom w:val="single" w:sz="12" w:space="0" w:color="auto"/>
          <w:right w:val="nil"/>
          <w:insideH w:val="nil"/>
          <w:insideV w:val="nil"/>
          <w:tl2br w:val="nil"/>
          <w:tr2bl w:val="nil"/>
        </w:tcBorders>
        <w:shd w:val="clear" w:color="auto" w:fill="D9D9D9" w:themeFill="background1" w:themeFillShade="D9"/>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band2Horz">
      <w:tblPr/>
      <w:tcPr>
        <w:tcBorders>
          <w:top w:val="nil"/>
          <w:left w:val="nil"/>
          <w:bottom w:val="nil"/>
          <w:right w:val="nil"/>
          <w:insideH w:val="nil"/>
          <w:insideV w:val="nil"/>
          <w:tl2br w:val="nil"/>
          <w:tr2bl w:val="nil"/>
        </w:tcBorders>
        <w:shd w:val="clear" w:color="auto" w:fill="DAEEF3" w:themeFill="accent5" w:themeFillTint="33"/>
      </w:tcPr>
    </w:tblStylePr>
  </w:style>
  <w:style w:type="paragraph" w:styleId="Caption">
    <w:name w:val="caption"/>
    <w:aliases w:val="Caption Char1,Caption Char Char,Caption Char Char1"/>
    <w:basedOn w:val="Normal"/>
    <w:next w:val="Normal"/>
    <w:link w:val="CaptionChar"/>
    <w:uiPriority w:val="35"/>
    <w:unhideWhenUsed/>
    <w:qFormat/>
    <w:rsid w:val="0038035E"/>
    <w:pPr>
      <w:spacing w:after="200"/>
    </w:pPr>
    <w:rPr>
      <w:b/>
      <w:bCs/>
      <w:color w:val="4F81BD" w:themeColor="accent1"/>
      <w:sz w:val="18"/>
      <w:szCs w:val="18"/>
    </w:rPr>
  </w:style>
  <w:style w:type="character" w:customStyle="1" w:styleId="ListParagraphChar">
    <w:name w:val="List Paragraph Char"/>
    <w:aliases w:val="body bullets Char,Liste 1 Char,List Paragraph1 Char,List Paragraph (numbered (a)) Char,References Char,Bullets Char,List Bullet Mary Char,Numbered List Paragraph Char,List Paragraph nowy Char,WB List Paragraph Char,Ha Char"/>
    <w:basedOn w:val="DefaultParagraphFont"/>
    <w:link w:val="ListParagraph"/>
    <w:uiPriority w:val="34"/>
    <w:qFormat/>
    <w:rsid w:val="004139C4"/>
    <w:rPr>
      <w:rFonts w:ascii="Verdana" w:hAnsi="Verdana" w:cs="Arial"/>
      <w:lang w:val="en-CA" w:eastAsia="en-US"/>
    </w:rPr>
  </w:style>
  <w:style w:type="table" w:customStyle="1" w:styleId="IOETable1">
    <w:name w:val="IOE Table1"/>
    <w:basedOn w:val="TableNormal"/>
    <w:uiPriority w:val="99"/>
    <w:rsid w:val="00E12989"/>
    <w:pPr>
      <w:spacing w:before="120" w:after="40"/>
      <w:jc w:val="right"/>
    </w:pPr>
    <w:rPr>
      <w:rFonts w:ascii="Arial" w:hAnsi="Arial" w:cs="Arial"/>
      <w:sz w:val="16"/>
      <w:szCs w:val="16"/>
    </w:rPr>
    <w:tblPr>
      <w:tblStyleRowBandSize w:val="1"/>
      <w:tblInd w:w="567" w:type="dxa"/>
      <w:tblBorders>
        <w:bottom w:val="single" w:sz="12" w:space="0" w:color="auto"/>
      </w:tblBorders>
      <w:tblCellMar>
        <w:left w:w="0" w:type="dxa"/>
      </w:tblCellMar>
    </w:tblPr>
    <w:tblStylePr w:type="firstRow">
      <w:pPr>
        <w:wordWrap/>
        <w:spacing w:beforeLines="0" w:before="80" w:beforeAutospacing="0" w:afterLines="0" w:after="80" w:afterAutospacing="0" w:line="240" w:lineRule="auto"/>
        <w:contextualSpacing w:val="0"/>
      </w:pPr>
      <w:rPr>
        <w:rFonts w:ascii="Arial" w:hAnsi="Arial" w:cs="Arial"/>
        <w:b w:val="0"/>
        <w:bCs w:val="0"/>
        <w:i/>
        <w:iCs/>
        <w:caps w:val="0"/>
        <w:smallCaps w:val="0"/>
        <w:strike w:val="0"/>
        <w:dstrike w:val="0"/>
        <w:vanish w:val="0"/>
        <w:color w:val="auto"/>
        <w:sz w:val="16"/>
        <w:szCs w:val="16"/>
        <w:vertAlign w:val="baseline"/>
      </w:rPr>
      <w:tblPr/>
      <w:tcPr>
        <w:tcBorders>
          <w:top w:val="single" w:sz="8" w:space="0" w:color="auto"/>
          <w:left w:val="nil"/>
          <w:bottom w:val="single" w:sz="12" w:space="0" w:color="auto"/>
          <w:right w:val="nil"/>
          <w:insideH w:val="nil"/>
          <w:insideV w:val="nil"/>
          <w:tl2br w:val="nil"/>
          <w:tr2bl w:val="nil"/>
        </w:tcBorders>
        <w:shd w:val="clear" w:color="auto" w:fill="D9D9D9" w:themeFill="background1" w:themeFillShade="D9"/>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band2Horz">
      <w:tblPr/>
      <w:tcPr>
        <w:tcBorders>
          <w:top w:val="nil"/>
          <w:left w:val="nil"/>
          <w:bottom w:val="nil"/>
          <w:right w:val="nil"/>
          <w:insideH w:val="nil"/>
          <w:insideV w:val="nil"/>
          <w:tl2br w:val="nil"/>
          <w:tr2bl w:val="nil"/>
        </w:tcBorders>
        <w:shd w:val="clear" w:color="auto" w:fill="DAEEF3" w:themeFill="accent5" w:themeFillTint="33"/>
      </w:tcPr>
    </w:tblStylePr>
  </w:style>
  <w:style w:type="paragraph" w:customStyle="1" w:styleId="AHeading1">
    <w:name w:val="A_Heading1"/>
    <w:basedOn w:val="Normal"/>
    <w:next w:val="BodyText"/>
    <w:qFormat/>
    <w:rsid w:val="0067174C"/>
    <w:pPr>
      <w:numPr>
        <w:numId w:val="14"/>
      </w:numPr>
      <w:spacing w:before="200" w:after="160" w:line="264" w:lineRule="auto"/>
    </w:pPr>
    <w:rPr>
      <w:rFonts w:ascii="Arial" w:hAnsi="Arial"/>
      <w:b/>
      <w:sz w:val="24"/>
      <w:szCs w:val="24"/>
    </w:rPr>
  </w:style>
  <w:style w:type="numbering" w:customStyle="1" w:styleId="AnnexHeadings">
    <w:name w:val="Annex_Headings"/>
    <w:uiPriority w:val="99"/>
    <w:rsid w:val="0067174C"/>
    <w:pPr>
      <w:numPr>
        <w:numId w:val="14"/>
      </w:numPr>
    </w:pPr>
  </w:style>
  <w:style w:type="paragraph" w:customStyle="1" w:styleId="AHeading2">
    <w:name w:val="A_Heading2"/>
    <w:next w:val="Normal"/>
    <w:qFormat/>
    <w:rsid w:val="003D4E4A"/>
    <w:pPr>
      <w:spacing w:before="240" w:after="80"/>
      <w:ind w:left="357" w:hanging="357"/>
    </w:pPr>
    <w:rPr>
      <w:rFonts w:ascii="Arial" w:hAnsi="Arial" w:cs="Arial"/>
      <w:b/>
      <w:bCs/>
      <w:sz w:val="22"/>
      <w:lang w:val="en-CA" w:eastAsia="en-US"/>
    </w:rPr>
  </w:style>
  <w:style w:type="numbering" w:customStyle="1" w:styleId="Headings">
    <w:name w:val="Headings"/>
    <w:uiPriority w:val="99"/>
    <w:rsid w:val="00931850"/>
  </w:style>
  <w:style w:type="paragraph" w:customStyle="1" w:styleId="Annexes">
    <w:name w:val="Annexes"/>
    <w:basedOn w:val="Normal"/>
    <w:rsid w:val="00931850"/>
    <w:pPr>
      <w:spacing w:line="264" w:lineRule="auto"/>
    </w:pPr>
    <w:rPr>
      <w:rFonts w:ascii="Arial" w:hAnsi="Arial"/>
      <w:sz w:val="2"/>
    </w:rPr>
  </w:style>
  <w:style w:type="character" w:styleId="PlaceholderText">
    <w:name w:val="Placeholder Text"/>
    <w:basedOn w:val="DefaultParagraphFont"/>
    <w:uiPriority w:val="99"/>
    <w:semiHidden/>
    <w:rsid w:val="00931850"/>
    <w:rPr>
      <w:color w:val="808080"/>
    </w:rPr>
  </w:style>
  <w:style w:type="character" w:styleId="FollowedHyperlink">
    <w:name w:val="FollowedHyperlink"/>
    <w:basedOn w:val="DefaultParagraphFont"/>
    <w:uiPriority w:val="99"/>
    <w:rsid w:val="00931850"/>
    <w:rPr>
      <w:color w:val="800080" w:themeColor="followedHyperlink"/>
      <w:u w:val="single"/>
    </w:rPr>
  </w:style>
  <w:style w:type="paragraph" w:customStyle="1" w:styleId="Abbreviations">
    <w:name w:val="Abbreviations"/>
    <w:basedOn w:val="Normal"/>
    <w:qFormat/>
    <w:rsid w:val="00931850"/>
    <w:pPr>
      <w:tabs>
        <w:tab w:val="left" w:pos="1701"/>
      </w:tabs>
      <w:spacing w:after="60" w:line="288" w:lineRule="auto"/>
    </w:pPr>
    <w:rPr>
      <w:rFonts w:ascii="Arial" w:hAnsi="Arial" w:cs="Times New Roman"/>
      <w:noProof/>
      <w:szCs w:val="22"/>
      <w:lang w:val="en-US"/>
    </w:rPr>
  </w:style>
  <w:style w:type="character" w:customStyle="1" w:styleId="Captionsstyle">
    <w:name w:val="Captions_style"/>
    <w:basedOn w:val="DefaultParagraphFont"/>
    <w:uiPriority w:val="1"/>
    <w:rsid w:val="00931850"/>
    <w:rPr>
      <w:rFonts w:ascii="Arial" w:hAnsi="Arial"/>
      <w:b/>
      <w:sz w:val="18"/>
    </w:rPr>
  </w:style>
  <w:style w:type="character" w:customStyle="1" w:styleId="IFADparagraphnumberingChar">
    <w:name w:val="IFAD paragraph numbering Char"/>
    <w:link w:val="IFADparagraphnumbering"/>
    <w:locked/>
    <w:rsid w:val="00931850"/>
    <w:rPr>
      <w:rFonts w:ascii="Verdana" w:eastAsia="MS Mincho" w:hAnsi="Verdana" w:cs="Arial"/>
      <w:kern w:val="2"/>
      <w:lang w:val="en-CA" w:eastAsia="en-US"/>
    </w:rPr>
  </w:style>
  <w:style w:type="numbering" w:customStyle="1" w:styleId="Headings1">
    <w:name w:val="Headings1"/>
    <w:uiPriority w:val="99"/>
    <w:rsid w:val="00931850"/>
    <w:pPr>
      <w:numPr>
        <w:numId w:val="17"/>
      </w:numPr>
    </w:pPr>
  </w:style>
  <w:style w:type="paragraph" w:customStyle="1" w:styleId="BVIfnrCarCar">
    <w:name w:val="BVI fnr Car Car"/>
    <w:aliases w:val="BVI fnr Car,BVI fnr Car Car Car Car"/>
    <w:basedOn w:val="Normal"/>
    <w:link w:val="FootnoteReference"/>
    <w:uiPriority w:val="99"/>
    <w:rsid w:val="00931850"/>
    <w:pPr>
      <w:spacing w:after="160" w:line="240" w:lineRule="exact"/>
      <w:jc w:val="both"/>
    </w:pPr>
    <w:rPr>
      <w:rFonts w:ascii="Times New Roman" w:hAnsi="Times New Roman" w:cs="Times New Roman"/>
      <w:vertAlign w:val="superscript"/>
      <w:lang w:val="en-GB" w:eastAsia="en-GB"/>
    </w:rPr>
  </w:style>
  <w:style w:type="character" w:customStyle="1" w:styleId="Heading1Char">
    <w:name w:val="Heading 1 Char"/>
    <w:aliases w:val="Main Heading Char,TCI 1.  Heading Char, 1 Char,annexe Char,CHAPITRE Char,1 Char,alec1 Char, Main Heading Char, 11 Char,11 Char"/>
    <w:basedOn w:val="DefaultParagraphFont"/>
    <w:link w:val="Heading1"/>
    <w:uiPriority w:val="9"/>
    <w:rsid w:val="00931850"/>
    <w:rPr>
      <w:rFonts w:ascii="Verdana" w:hAnsi="Verdana" w:cs="Arial"/>
      <w:b/>
      <w:bCs/>
      <w:sz w:val="28"/>
      <w:szCs w:val="28"/>
      <w:lang w:val="en-CA" w:eastAsia="en-US"/>
    </w:rPr>
  </w:style>
  <w:style w:type="character" w:customStyle="1" w:styleId="Heading3Char">
    <w:name w:val="Heading 3 Char"/>
    <w:basedOn w:val="DefaultParagraphFont"/>
    <w:link w:val="Heading3"/>
    <w:rsid w:val="00931850"/>
    <w:rPr>
      <w:rFonts w:ascii="Verdana" w:hAnsi="Verdana" w:cs="Arial"/>
      <w:b/>
      <w:lang w:val="en-CA" w:eastAsia="en-US"/>
    </w:rPr>
  </w:style>
  <w:style w:type="character" w:customStyle="1" w:styleId="Heading4Char">
    <w:name w:val="Heading 4 Char"/>
    <w:aliases w:val="Centred Char"/>
    <w:basedOn w:val="DefaultParagraphFont"/>
    <w:link w:val="Heading4"/>
    <w:rsid w:val="00931850"/>
    <w:rPr>
      <w:rFonts w:ascii="Verdana" w:hAnsi="Verdana" w:cs="Arial"/>
      <w:b/>
      <w:i/>
      <w:lang w:val="en-CA" w:eastAsia="en-US"/>
    </w:rPr>
  </w:style>
  <w:style w:type="character" w:customStyle="1" w:styleId="Heading5Char">
    <w:name w:val="Heading 5 Char"/>
    <w:aliases w:val=" Side Char,Side Char"/>
    <w:basedOn w:val="DefaultParagraphFont"/>
    <w:link w:val="Heading5"/>
    <w:rsid w:val="00931850"/>
    <w:rPr>
      <w:rFonts w:ascii="Verdana" w:hAnsi="Verdana" w:cs="Arial"/>
      <w:lang w:val="en-CA" w:eastAsia="en-US"/>
    </w:rPr>
  </w:style>
  <w:style w:type="character" w:customStyle="1" w:styleId="Heading6Char">
    <w:name w:val="Heading 6 Char"/>
    <w:basedOn w:val="DefaultParagraphFont"/>
    <w:link w:val="Heading6"/>
    <w:rsid w:val="00931850"/>
    <w:rPr>
      <w:rFonts w:ascii="Verdana" w:hAnsi="Verdana" w:cs="Arial"/>
      <w:i/>
      <w:lang w:val="en-CA" w:eastAsia="en-US"/>
    </w:rPr>
  </w:style>
  <w:style w:type="character" w:customStyle="1" w:styleId="Heading7Char">
    <w:name w:val="Heading 7 Char"/>
    <w:basedOn w:val="DefaultParagraphFont"/>
    <w:link w:val="Heading7"/>
    <w:rsid w:val="00931850"/>
    <w:rPr>
      <w:rFonts w:ascii="Verdana" w:hAnsi="Verdana" w:cs="Arial"/>
      <w:lang w:val="en-CA" w:eastAsia="en-US"/>
    </w:rPr>
  </w:style>
  <w:style w:type="character" w:customStyle="1" w:styleId="Heading8Char">
    <w:name w:val="Heading 8 Char"/>
    <w:basedOn w:val="DefaultParagraphFont"/>
    <w:link w:val="Heading8"/>
    <w:rsid w:val="00931850"/>
    <w:rPr>
      <w:rFonts w:ascii="Verdana" w:hAnsi="Verdana" w:cs="Arial"/>
      <w:i/>
      <w:lang w:val="en-CA" w:eastAsia="en-US"/>
    </w:rPr>
  </w:style>
  <w:style w:type="character" w:customStyle="1" w:styleId="Heading9Char">
    <w:name w:val="Heading 9 Char"/>
    <w:basedOn w:val="DefaultParagraphFont"/>
    <w:link w:val="Heading9"/>
    <w:rsid w:val="00931850"/>
    <w:rPr>
      <w:rFonts w:ascii="Verdana" w:hAnsi="Verdana" w:cs="Arial"/>
      <w:vanish/>
      <w:sz w:val="2"/>
      <w:lang w:val="en-CA" w:eastAsia="en-US"/>
    </w:rPr>
  </w:style>
  <w:style w:type="table" w:customStyle="1" w:styleId="TableGrid1">
    <w:name w:val="Table Grid1"/>
    <w:basedOn w:val="TableNormal"/>
    <w:next w:val="TableGrid"/>
    <w:uiPriority w:val="59"/>
    <w:rsid w:val="0093185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1850"/>
    <w:pPr>
      <w:spacing w:before="100" w:beforeAutospacing="1" w:after="100" w:afterAutospacing="1"/>
    </w:pPr>
    <w:rPr>
      <w:rFonts w:ascii="Times New Roman" w:hAnsi="Times New Roman" w:cs="Times New Roman"/>
      <w:sz w:val="24"/>
      <w:szCs w:val="24"/>
      <w:lang w:val="en-GB" w:eastAsia="en-GB"/>
    </w:rPr>
  </w:style>
  <w:style w:type="paragraph" w:customStyle="1" w:styleId="xl65">
    <w:name w:val="xl65"/>
    <w:basedOn w:val="Normal"/>
    <w:rsid w:val="00931850"/>
    <w:pPr>
      <w:spacing w:before="100" w:beforeAutospacing="1" w:after="100" w:afterAutospacing="1"/>
    </w:pPr>
    <w:rPr>
      <w:rFonts w:ascii="Times New Roman" w:hAnsi="Times New Roman" w:cs="Times New Roman"/>
      <w:lang w:val="en-GB" w:eastAsia="en-GB"/>
    </w:rPr>
  </w:style>
  <w:style w:type="paragraph" w:customStyle="1" w:styleId="xl66">
    <w:name w:val="xl66"/>
    <w:basedOn w:val="Normal"/>
    <w:rsid w:val="00931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n-GB" w:eastAsia="en-GB"/>
    </w:rPr>
  </w:style>
  <w:style w:type="paragraph" w:customStyle="1" w:styleId="xl67">
    <w:name w:val="xl67"/>
    <w:basedOn w:val="Normal"/>
    <w:rsid w:val="00931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n-GB" w:eastAsia="en-GB"/>
    </w:rPr>
  </w:style>
  <w:style w:type="paragraph" w:customStyle="1" w:styleId="xl68">
    <w:name w:val="xl68"/>
    <w:basedOn w:val="Normal"/>
    <w:rsid w:val="00931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n-GB" w:eastAsia="en-GB"/>
    </w:rPr>
  </w:style>
  <w:style w:type="paragraph" w:customStyle="1" w:styleId="xl69">
    <w:name w:val="xl69"/>
    <w:basedOn w:val="Normal"/>
    <w:rsid w:val="00931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FF"/>
      <w:lang w:val="en-GB" w:eastAsia="en-GB"/>
    </w:rPr>
  </w:style>
  <w:style w:type="paragraph" w:customStyle="1" w:styleId="xl70">
    <w:name w:val="xl70"/>
    <w:basedOn w:val="Normal"/>
    <w:rsid w:val="00931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lang w:val="en-GB" w:eastAsia="en-GB"/>
    </w:rPr>
  </w:style>
  <w:style w:type="paragraph" w:customStyle="1" w:styleId="xl71">
    <w:name w:val="xl71"/>
    <w:basedOn w:val="Normal"/>
    <w:rsid w:val="00931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lang w:val="en-GB" w:eastAsia="en-GB"/>
    </w:rPr>
  </w:style>
  <w:style w:type="paragraph" w:customStyle="1" w:styleId="xl72">
    <w:name w:val="xl72"/>
    <w:basedOn w:val="Normal"/>
    <w:rsid w:val="00931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en-GB" w:eastAsia="en-GB"/>
    </w:rPr>
  </w:style>
  <w:style w:type="paragraph" w:customStyle="1" w:styleId="xl73">
    <w:name w:val="xl73"/>
    <w:basedOn w:val="Normal"/>
    <w:rsid w:val="00931850"/>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hAnsi="Times New Roman" w:cs="Times New Roman"/>
      <w:lang w:val="en-GB" w:eastAsia="en-GB"/>
    </w:rPr>
  </w:style>
  <w:style w:type="paragraph" w:customStyle="1" w:styleId="xl74">
    <w:name w:val="xl74"/>
    <w:basedOn w:val="Normal"/>
    <w:rsid w:val="00931850"/>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center"/>
    </w:pPr>
    <w:rPr>
      <w:rFonts w:ascii="Times New Roman" w:hAnsi="Times New Roman" w:cs="Times New Roman"/>
      <w:b/>
      <w:bCs/>
      <w:color w:val="0000FF"/>
      <w:lang w:val="en-GB" w:eastAsia="en-GB"/>
    </w:rPr>
  </w:style>
  <w:style w:type="paragraph" w:customStyle="1" w:styleId="xl75">
    <w:name w:val="xl75"/>
    <w:basedOn w:val="Normal"/>
    <w:rsid w:val="00931850"/>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hAnsi="Times New Roman" w:cs="Times New Roman"/>
      <w:lang w:val="en-GB" w:eastAsia="en-GB"/>
    </w:rPr>
  </w:style>
  <w:style w:type="paragraph" w:customStyle="1" w:styleId="xl76">
    <w:name w:val="xl76"/>
    <w:basedOn w:val="Normal"/>
    <w:rsid w:val="009318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000000"/>
      <w:lang w:val="en-GB" w:eastAsia="en-GB"/>
    </w:rPr>
  </w:style>
  <w:style w:type="paragraph" w:customStyle="1" w:styleId="xl77">
    <w:name w:val="xl77"/>
    <w:basedOn w:val="Normal"/>
    <w:rsid w:val="00931850"/>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Times New Roman" w:hAnsi="Times New Roman" w:cs="Times New Roman"/>
      <w:b/>
      <w:bCs/>
      <w:color w:val="000000"/>
      <w:lang w:val="en-GB" w:eastAsia="en-GB"/>
    </w:rPr>
  </w:style>
  <w:style w:type="paragraph" w:customStyle="1" w:styleId="xl78">
    <w:name w:val="xl78"/>
    <w:basedOn w:val="Normal"/>
    <w:rsid w:val="00931850"/>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rFonts w:ascii="Times New Roman" w:hAnsi="Times New Roman" w:cs="Times New Roman"/>
      <w:b/>
      <w:bCs/>
      <w:lang w:val="en-GB" w:eastAsia="en-GB"/>
    </w:rPr>
  </w:style>
  <w:style w:type="paragraph" w:customStyle="1" w:styleId="xl79">
    <w:name w:val="xl79"/>
    <w:basedOn w:val="Normal"/>
    <w:rsid w:val="00931850"/>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rFonts w:ascii="Times New Roman" w:hAnsi="Times New Roman" w:cs="Times New Roman"/>
      <w:b/>
      <w:bCs/>
      <w:color w:val="000000"/>
      <w:lang w:val="en-GB" w:eastAsia="en-GB"/>
    </w:rPr>
  </w:style>
  <w:style w:type="paragraph" w:customStyle="1" w:styleId="xl80">
    <w:name w:val="xl80"/>
    <w:basedOn w:val="Normal"/>
    <w:rsid w:val="00931850"/>
    <w:pPr>
      <w:pBdr>
        <w:left w:val="single" w:sz="4" w:space="0" w:color="auto"/>
        <w:right w:val="single" w:sz="4" w:space="0" w:color="auto"/>
      </w:pBdr>
      <w:shd w:val="clear" w:color="000000" w:fill="D0CECE"/>
      <w:spacing w:before="100" w:beforeAutospacing="1" w:after="100" w:afterAutospacing="1"/>
      <w:jc w:val="center"/>
      <w:textAlignment w:val="top"/>
    </w:pPr>
    <w:rPr>
      <w:rFonts w:ascii="Times New Roman" w:hAnsi="Times New Roman" w:cs="Times New Roman"/>
      <w:b/>
      <w:bCs/>
      <w:color w:val="000000"/>
      <w:lang w:val="en-GB" w:eastAsia="en-GB"/>
    </w:rPr>
  </w:style>
  <w:style w:type="paragraph" w:customStyle="1" w:styleId="xl81">
    <w:name w:val="xl81"/>
    <w:basedOn w:val="Normal"/>
    <w:rsid w:val="00931850"/>
    <w:pPr>
      <w:pBdr>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rFonts w:ascii="Times New Roman" w:hAnsi="Times New Roman" w:cs="Times New Roman"/>
      <w:b/>
      <w:bCs/>
      <w:color w:val="000000"/>
      <w:lang w:val="en-GB" w:eastAsia="en-GB"/>
    </w:rPr>
  </w:style>
  <w:style w:type="paragraph" w:customStyle="1" w:styleId="xl82">
    <w:name w:val="xl82"/>
    <w:basedOn w:val="Normal"/>
    <w:rsid w:val="00931850"/>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rFonts w:ascii="Times New Roman" w:hAnsi="Times New Roman" w:cs="Times New Roman"/>
      <w:b/>
      <w:bCs/>
      <w:color w:val="000000"/>
      <w:lang w:val="en-GB" w:eastAsia="en-GB"/>
    </w:rPr>
  </w:style>
  <w:style w:type="paragraph" w:customStyle="1" w:styleId="xl83">
    <w:name w:val="xl83"/>
    <w:basedOn w:val="Normal"/>
    <w:rsid w:val="00931850"/>
    <w:pPr>
      <w:pBdr>
        <w:left w:val="single" w:sz="4" w:space="0" w:color="auto"/>
        <w:right w:val="single" w:sz="4" w:space="0" w:color="auto"/>
      </w:pBdr>
      <w:shd w:val="clear" w:color="000000" w:fill="D0CECE"/>
      <w:spacing w:before="100" w:beforeAutospacing="1" w:after="100" w:afterAutospacing="1"/>
      <w:jc w:val="center"/>
      <w:textAlignment w:val="top"/>
    </w:pPr>
    <w:rPr>
      <w:rFonts w:ascii="Times New Roman" w:hAnsi="Times New Roman" w:cs="Times New Roman"/>
      <w:b/>
      <w:bCs/>
      <w:color w:val="000000"/>
      <w:lang w:val="en-GB" w:eastAsia="en-GB"/>
    </w:rPr>
  </w:style>
  <w:style w:type="paragraph" w:customStyle="1" w:styleId="xl84">
    <w:name w:val="xl84"/>
    <w:basedOn w:val="Normal"/>
    <w:rsid w:val="00931850"/>
    <w:pPr>
      <w:pBdr>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rFonts w:ascii="Times New Roman" w:hAnsi="Times New Roman" w:cs="Times New Roman"/>
      <w:b/>
      <w:bCs/>
      <w:color w:val="000000"/>
      <w:lang w:val="en-GB" w:eastAsia="en-GB"/>
    </w:rPr>
  </w:style>
  <w:style w:type="paragraph" w:customStyle="1" w:styleId="xl85">
    <w:name w:val="xl85"/>
    <w:basedOn w:val="Normal"/>
    <w:rsid w:val="00931850"/>
    <w:pPr>
      <w:pBdr>
        <w:top w:val="single" w:sz="4" w:space="0" w:color="auto"/>
        <w:left w:val="single" w:sz="4" w:space="0" w:color="auto"/>
        <w:bottom w:val="single" w:sz="4" w:space="0" w:color="auto"/>
      </w:pBdr>
      <w:shd w:val="clear" w:color="000000" w:fill="D0CECE"/>
      <w:spacing w:before="100" w:beforeAutospacing="1" w:after="100" w:afterAutospacing="1"/>
      <w:jc w:val="center"/>
      <w:textAlignment w:val="top"/>
    </w:pPr>
    <w:rPr>
      <w:rFonts w:ascii="Times New Roman" w:hAnsi="Times New Roman" w:cs="Times New Roman"/>
      <w:b/>
      <w:bCs/>
      <w:lang w:val="en-GB" w:eastAsia="en-GB"/>
    </w:rPr>
  </w:style>
  <w:style w:type="paragraph" w:customStyle="1" w:styleId="xl86">
    <w:name w:val="xl86"/>
    <w:basedOn w:val="Normal"/>
    <w:rsid w:val="00931850"/>
    <w:pPr>
      <w:pBdr>
        <w:top w:val="single" w:sz="4" w:space="0" w:color="auto"/>
        <w:bottom w:val="single" w:sz="4" w:space="0" w:color="auto"/>
      </w:pBdr>
      <w:shd w:val="clear" w:color="000000" w:fill="D0CECE"/>
      <w:spacing w:before="100" w:beforeAutospacing="1" w:after="100" w:afterAutospacing="1"/>
      <w:jc w:val="center"/>
      <w:textAlignment w:val="top"/>
    </w:pPr>
    <w:rPr>
      <w:rFonts w:ascii="Times New Roman" w:hAnsi="Times New Roman" w:cs="Times New Roman"/>
      <w:b/>
      <w:bCs/>
      <w:lang w:val="en-GB" w:eastAsia="en-GB"/>
    </w:rPr>
  </w:style>
  <w:style w:type="paragraph" w:customStyle="1" w:styleId="xl87">
    <w:name w:val="xl87"/>
    <w:basedOn w:val="Normal"/>
    <w:rsid w:val="00931850"/>
    <w:pPr>
      <w:pBdr>
        <w:top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rFonts w:ascii="Times New Roman" w:hAnsi="Times New Roman" w:cs="Times New Roman"/>
      <w:b/>
      <w:bCs/>
      <w:lang w:val="en-GB" w:eastAsia="en-GB"/>
    </w:rPr>
  </w:style>
  <w:style w:type="numbering" w:customStyle="1" w:styleId="NoList1">
    <w:name w:val="No List1"/>
    <w:next w:val="NoList"/>
    <w:semiHidden/>
    <w:rsid w:val="00931850"/>
  </w:style>
  <w:style w:type="character" w:customStyle="1" w:styleId="CaptionChar">
    <w:name w:val="Caption Char"/>
    <w:aliases w:val="Caption Char1 Char,Caption Char Char Char,Caption Char Char1 Char"/>
    <w:link w:val="Caption"/>
    <w:uiPriority w:val="35"/>
    <w:rsid w:val="00931850"/>
    <w:rPr>
      <w:rFonts w:ascii="Verdana" w:hAnsi="Verdana" w:cs="Arial"/>
      <w:b/>
      <w:bCs/>
      <w:color w:val="4F81BD" w:themeColor="accent1"/>
      <w:sz w:val="18"/>
      <w:szCs w:val="18"/>
      <w:lang w:val="en-CA" w:eastAsia="en-US"/>
    </w:rPr>
  </w:style>
  <w:style w:type="paragraph" w:customStyle="1" w:styleId="Heading1noTOC0">
    <w:name w:val="Heading1_noTOC"/>
    <w:basedOn w:val="Heading1"/>
    <w:next w:val="Normal"/>
    <w:rsid w:val="00931850"/>
    <w:pPr>
      <w:numPr>
        <w:numId w:val="0"/>
      </w:numPr>
      <w:tabs>
        <w:tab w:val="num" w:pos="1134"/>
      </w:tabs>
      <w:spacing w:before="120" w:after="120"/>
      <w:ind w:left="1134" w:hanging="567"/>
      <w:jc w:val="center"/>
      <w:outlineLvl w:val="9"/>
    </w:pPr>
    <w:rPr>
      <w:rFonts w:ascii="Arial Bold" w:hAnsi="Arial Bold"/>
      <w:caps/>
      <w:kern w:val="28"/>
      <w:sz w:val="22"/>
      <w:szCs w:val="22"/>
      <w:lang w:val="en-GB"/>
    </w:rPr>
  </w:style>
  <w:style w:type="table" w:customStyle="1" w:styleId="TableProfessional1">
    <w:name w:val="Table Professional1"/>
    <w:basedOn w:val="TableNormal"/>
    <w:next w:val="TableProfessional"/>
    <w:rsid w:val="0093185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12ptBoldSmallcapsCentered">
    <w:name w:val="Style 12 pt Bold Small caps Centered"/>
    <w:basedOn w:val="Heading1"/>
    <w:next w:val="Normal"/>
    <w:rsid w:val="00931850"/>
    <w:pPr>
      <w:numPr>
        <w:numId w:val="0"/>
      </w:numPr>
      <w:tabs>
        <w:tab w:val="num" w:pos="1134"/>
      </w:tabs>
      <w:spacing w:before="120" w:after="120"/>
      <w:ind w:left="1134" w:hanging="567"/>
      <w:jc w:val="center"/>
    </w:pPr>
    <w:rPr>
      <w:rFonts w:ascii="Arial Bold" w:hAnsi="Arial Bold"/>
      <w:bCs w:val="0"/>
      <w:caps/>
      <w:kern w:val="28"/>
      <w:sz w:val="22"/>
      <w:szCs w:val="22"/>
      <w:lang w:val="en-GB"/>
    </w:rPr>
  </w:style>
  <w:style w:type="paragraph" w:styleId="BodyTextIndent3">
    <w:name w:val="Body Text Indent 3"/>
    <w:basedOn w:val="Normal"/>
    <w:link w:val="BodyTextIndent3Char"/>
    <w:rsid w:val="00931850"/>
    <w:pPr>
      <w:ind w:left="720" w:hanging="720"/>
    </w:pPr>
    <w:rPr>
      <w:rFonts w:ascii="Times New Roman" w:hAnsi="Times New Roman" w:cs="Times New Roman"/>
      <w:sz w:val="18"/>
      <w:lang w:val="en-GB"/>
    </w:rPr>
  </w:style>
  <w:style w:type="character" w:customStyle="1" w:styleId="BodyTextIndent3Char">
    <w:name w:val="Body Text Indent 3 Char"/>
    <w:basedOn w:val="DefaultParagraphFont"/>
    <w:link w:val="BodyTextIndent3"/>
    <w:rsid w:val="00931850"/>
    <w:rPr>
      <w:sz w:val="18"/>
      <w:lang w:eastAsia="en-US"/>
    </w:rPr>
  </w:style>
  <w:style w:type="paragraph" w:customStyle="1" w:styleId="Table">
    <w:name w:val="Table"/>
    <w:basedOn w:val="Normal"/>
    <w:rsid w:val="00931850"/>
    <w:pPr>
      <w:keepNext/>
      <w:keepLines/>
    </w:pPr>
    <w:rPr>
      <w:rFonts w:ascii="Times New Roman" w:hAnsi="Times New Roman" w:cs="Times New Roman"/>
      <w:sz w:val="22"/>
      <w:lang w:val="en-GB"/>
    </w:rPr>
  </w:style>
  <w:style w:type="paragraph" w:customStyle="1" w:styleId="text">
    <w:name w:val="text"/>
    <w:basedOn w:val="Normal"/>
    <w:rsid w:val="00931850"/>
    <w:rPr>
      <w:rFonts w:ascii="Times New Roman" w:hAnsi="Times New Roman" w:cs="Times New Roman"/>
      <w:sz w:val="22"/>
      <w:lang w:val="en-GB"/>
    </w:rPr>
  </w:style>
  <w:style w:type="paragraph" w:customStyle="1" w:styleId="IFADparagraph">
    <w:name w:val="IFAD paragraph"/>
    <w:basedOn w:val="Normal"/>
    <w:link w:val="IFADparagraphChar"/>
    <w:rsid w:val="00931850"/>
    <w:pPr>
      <w:tabs>
        <w:tab w:val="num" w:pos="720"/>
      </w:tabs>
      <w:spacing w:after="240"/>
      <w:ind w:left="720" w:hanging="360"/>
      <w:jc w:val="both"/>
    </w:pPr>
    <w:rPr>
      <w:rFonts w:ascii="Times New Roman" w:hAnsi="Times New Roman" w:cs="Times New Roman"/>
      <w:sz w:val="22"/>
      <w:lang w:val="en-GB"/>
    </w:rPr>
  </w:style>
  <w:style w:type="character" w:customStyle="1" w:styleId="IFADparagraphChar">
    <w:name w:val="IFAD paragraph Char"/>
    <w:link w:val="IFADparagraph"/>
    <w:rsid w:val="00931850"/>
    <w:rPr>
      <w:sz w:val="22"/>
      <w:lang w:eastAsia="en-US"/>
    </w:rPr>
  </w:style>
  <w:style w:type="paragraph" w:customStyle="1" w:styleId="IFADparagraph12ptChar11pt">
    <w:name w:val="IFAD paragraph + 12 pt Char + 11 pt"/>
    <w:basedOn w:val="Normal"/>
    <w:rsid w:val="00931850"/>
    <w:pPr>
      <w:spacing w:after="240"/>
      <w:jc w:val="both"/>
    </w:pPr>
    <w:rPr>
      <w:rFonts w:ascii="Times New Roman" w:hAnsi="Times New Roman" w:cs="Times New Roman"/>
      <w:sz w:val="22"/>
      <w:lang w:val="en-GB"/>
    </w:rPr>
  </w:style>
  <w:style w:type="paragraph" w:customStyle="1" w:styleId="Default">
    <w:name w:val="Default"/>
    <w:rsid w:val="00931850"/>
    <w:pPr>
      <w:autoSpaceDE w:val="0"/>
      <w:autoSpaceDN w:val="0"/>
      <w:adjustRightInd w:val="0"/>
    </w:pPr>
    <w:rPr>
      <w:rFonts w:ascii="Garamond" w:hAnsi="Garamond" w:cs="Garamond"/>
      <w:color w:val="000000"/>
      <w:sz w:val="24"/>
      <w:szCs w:val="24"/>
      <w:lang w:val="en-US" w:eastAsia="en-US"/>
    </w:rPr>
  </w:style>
  <w:style w:type="paragraph" w:customStyle="1" w:styleId="StyleIFADparagraph">
    <w:name w:val="Style IFAD paragraph"/>
    <w:basedOn w:val="IFADparagraph"/>
    <w:link w:val="StyleIFADparagraphChar"/>
    <w:autoRedefine/>
    <w:rsid w:val="00931850"/>
    <w:pPr>
      <w:tabs>
        <w:tab w:val="clear" w:pos="720"/>
      </w:tabs>
      <w:spacing w:after="0"/>
      <w:ind w:left="-851" w:firstLine="0"/>
      <w:jc w:val="center"/>
    </w:pPr>
  </w:style>
  <w:style w:type="character" w:customStyle="1" w:styleId="StyleIFADparagraphChar">
    <w:name w:val="Style IFAD paragraph Char"/>
    <w:basedOn w:val="IFADparagraphChar"/>
    <w:link w:val="StyleIFADparagraph"/>
    <w:rsid w:val="00931850"/>
    <w:rPr>
      <w:sz w:val="22"/>
      <w:lang w:eastAsia="en-US"/>
    </w:rPr>
  </w:style>
  <w:style w:type="paragraph" w:customStyle="1" w:styleId="StyleCaptionNotLatinBold">
    <w:name w:val="Style Caption + Not (Latin) Bold"/>
    <w:basedOn w:val="Caption"/>
    <w:link w:val="StyleCaptionNotLatinBoldChar"/>
    <w:rsid w:val="00931850"/>
  </w:style>
  <w:style w:type="character" w:customStyle="1" w:styleId="StyleCaptionNotLatinBoldChar">
    <w:name w:val="Style Caption + Not (Latin) Bold Char"/>
    <w:link w:val="StyleCaptionNotLatinBold"/>
    <w:rsid w:val="00931850"/>
    <w:rPr>
      <w:rFonts w:ascii="Verdana" w:hAnsi="Verdana" w:cs="Arial"/>
      <w:b/>
      <w:bCs/>
      <w:color w:val="4F81BD" w:themeColor="accent1"/>
      <w:sz w:val="18"/>
      <w:szCs w:val="18"/>
      <w:lang w:val="en-CA" w:eastAsia="en-US"/>
    </w:rPr>
  </w:style>
  <w:style w:type="paragraph" w:customStyle="1" w:styleId="StyleCaptionJustified">
    <w:name w:val="Style Caption + Justified"/>
    <w:basedOn w:val="Caption"/>
    <w:autoRedefine/>
    <w:rsid w:val="00931850"/>
  </w:style>
  <w:style w:type="character" w:customStyle="1" w:styleId="apple-style-span">
    <w:name w:val="apple-style-span"/>
    <w:basedOn w:val="DefaultParagraphFont"/>
    <w:rsid w:val="00931850"/>
  </w:style>
  <w:style w:type="paragraph" w:styleId="ListNumber">
    <w:name w:val="List Number"/>
    <w:basedOn w:val="Normal"/>
    <w:autoRedefine/>
    <w:rsid w:val="00931850"/>
    <w:pPr>
      <w:numPr>
        <w:numId w:val="19"/>
      </w:numPr>
      <w:tabs>
        <w:tab w:val="clear" w:pos="360"/>
        <w:tab w:val="left" w:pos="567"/>
      </w:tabs>
      <w:spacing w:after="120"/>
      <w:ind w:left="567" w:hanging="567"/>
      <w:jc w:val="both"/>
    </w:pPr>
    <w:rPr>
      <w:rFonts w:ascii="Arial" w:hAnsi="Arial" w:cs="Times New Roman"/>
      <w:lang w:val="en-GB" w:eastAsia="en-GB"/>
    </w:rPr>
  </w:style>
  <w:style w:type="paragraph" w:styleId="BodyTextIndent">
    <w:name w:val="Body Text Indent"/>
    <w:basedOn w:val="Normal"/>
    <w:link w:val="BodyTextIndentChar"/>
    <w:rsid w:val="00931850"/>
    <w:pPr>
      <w:spacing w:after="120"/>
      <w:ind w:left="283"/>
      <w:jc w:val="both"/>
    </w:pPr>
    <w:rPr>
      <w:rFonts w:ascii="Times New Roman" w:hAnsi="Times New Roman" w:cs="Times New Roman"/>
      <w:sz w:val="22"/>
      <w:lang w:val="en-GB"/>
    </w:rPr>
  </w:style>
  <w:style w:type="character" w:customStyle="1" w:styleId="BodyTextIndentChar">
    <w:name w:val="Body Text Indent Char"/>
    <w:basedOn w:val="DefaultParagraphFont"/>
    <w:link w:val="BodyTextIndent"/>
    <w:rsid w:val="00931850"/>
    <w:rPr>
      <w:sz w:val="22"/>
      <w:lang w:eastAsia="en-US"/>
    </w:rPr>
  </w:style>
  <w:style w:type="character" w:styleId="CommentReference">
    <w:name w:val="annotation reference"/>
    <w:uiPriority w:val="99"/>
    <w:rsid w:val="00931850"/>
    <w:rPr>
      <w:sz w:val="16"/>
      <w:szCs w:val="16"/>
    </w:rPr>
  </w:style>
  <w:style w:type="paragraph" w:styleId="CommentText">
    <w:name w:val="annotation text"/>
    <w:basedOn w:val="Normal"/>
    <w:link w:val="CommentTextChar"/>
    <w:uiPriority w:val="99"/>
    <w:rsid w:val="00931850"/>
    <w:pPr>
      <w:jc w:val="both"/>
    </w:pPr>
    <w:rPr>
      <w:rFonts w:ascii="Times New Roman" w:hAnsi="Times New Roman" w:cs="Times New Roman"/>
      <w:lang w:val="en-GB"/>
    </w:rPr>
  </w:style>
  <w:style w:type="character" w:customStyle="1" w:styleId="CommentTextChar">
    <w:name w:val="Comment Text Char"/>
    <w:basedOn w:val="DefaultParagraphFont"/>
    <w:link w:val="CommentText"/>
    <w:uiPriority w:val="99"/>
    <w:rsid w:val="00931850"/>
    <w:rPr>
      <w:lang w:eastAsia="en-US"/>
    </w:rPr>
  </w:style>
  <w:style w:type="paragraph" w:styleId="CommentSubject">
    <w:name w:val="annotation subject"/>
    <w:basedOn w:val="CommentText"/>
    <w:next w:val="CommentText"/>
    <w:link w:val="CommentSubjectChar"/>
    <w:rsid w:val="00931850"/>
    <w:rPr>
      <w:b/>
      <w:bCs/>
    </w:rPr>
  </w:style>
  <w:style w:type="character" w:customStyle="1" w:styleId="CommentSubjectChar">
    <w:name w:val="Comment Subject Char"/>
    <w:basedOn w:val="CommentTextChar"/>
    <w:link w:val="CommentSubject"/>
    <w:rsid w:val="00931850"/>
    <w:rPr>
      <w:b/>
      <w:bCs/>
      <w:lang w:eastAsia="en-US"/>
    </w:rPr>
  </w:style>
  <w:style w:type="paragraph" w:customStyle="1" w:styleId="TOCHeading1">
    <w:name w:val="TOC Heading1"/>
    <w:basedOn w:val="Heading1"/>
    <w:next w:val="Normal"/>
    <w:uiPriority w:val="39"/>
    <w:qFormat/>
    <w:rsid w:val="00931850"/>
    <w:pPr>
      <w:keepLines/>
      <w:numPr>
        <w:numId w:val="0"/>
      </w:numPr>
      <w:tabs>
        <w:tab w:val="num" w:pos="1134"/>
      </w:tabs>
      <w:spacing w:before="480" w:after="120" w:line="276" w:lineRule="auto"/>
      <w:ind w:left="1134" w:hanging="567"/>
      <w:jc w:val="center"/>
      <w:outlineLvl w:val="9"/>
    </w:pPr>
    <w:rPr>
      <w:rFonts w:ascii="Cambria" w:hAnsi="Cambria" w:cs="Times New Roman"/>
      <w:bCs w:val="0"/>
      <w:color w:val="365F91"/>
      <w:lang w:val="en-US"/>
    </w:rPr>
  </w:style>
  <w:style w:type="paragraph" w:customStyle="1" w:styleId="MainParawithChapter">
    <w:name w:val="Main Para with Chapter#"/>
    <w:basedOn w:val="Normal"/>
    <w:rsid w:val="00931850"/>
    <w:pPr>
      <w:spacing w:after="240"/>
      <w:outlineLvl w:val="1"/>
    </w:pPr>
    <w:rPr>
      <w:rFonts w:ascii="Arial" w:hAnsi="Arial"/>
      <w:lang w:val="en-GB"/>
    </w:rPr>
  </w:style>
  <w:style w:type="paragraph" w:customStyle="1" w:styleId="Sub-Para1underXY">
    <w:name w:val="Sub-Para 1 under X.Y"/>
    <w:basedOn w:val="Normal"/>
    <w:rsid w:val="00931850"/>
    <w:pPr>
      <w:spacing w:after="240"/>
      <w:ind w:left="1440" w:hanging="720"/>
      <w:outlineLvl w:val="2"/>
    </w:pPr>
    <w:rPr>
      <w:rFonts w:ascii="Arial" w:hAnsi="Arial"/>
      <w:lang w:val="en-GB"/>
    </w:rPr>
  </w:style>
  <w:style w:type="paragraph" w:customStyle="1" w:styleId="Sub-Para2underXY">
    <w:name w:val="Sub-Para 2 under X.Y"/>
    <w:basedOn w:val="Normal"/>
    <w:rsid w:val="00931850"/>
    <w:pPr>
      <w:spacing w:after="240"/>
      <w:ind w:left="2160" w:hanging="720"/>
      <w:outlineLvl w:val="3"/>
    </w:pPr>
    <w:rPr>
      <w:rFonts w:ascii="Arial" w:hAnsi="Arial"/>
      <w:lang w:val="en-GB"/>
    </w:rPr>
  </w:style>
  <w:style w:type="paragraph" w:customStyle="1" w:styleId="Sub-Para3underXY">
    <w:name w:val="Sub-Para 3 under X.Y"/>
    <w:basedOn w:val="Normal"/>
    <w:rsid w:val="00931850"/>
    <w:pPr>
      <w:spacing w:after="240"/>
      <w:ind w:left="2880" w:hanging="720"/>
      <w:outlineLvl w:val="4"/>
    </w:pPr>
    <w:rPr>
      <w:rFonts w:ascii="Arial" w:hAnsi="Arial"/>
      <w:lang w:val="en-GB"/>
    </w:rPr>
  </w:style>
  <w:style w:type="paragraph" w:customStyle="1" w:styleId="Sub-Para4underXY">
    <w:name w:val="Sub-Para 4 under X.Y"/>
    <w:basedOn w:val="Normal"/>
    <w:rsid w:val="00931850"/>
    <w:pPr>
      <w:spacing w:after="240"/>
      <w:ind w:left="3600" w:hanging="720"/>
      <w:outlineLvl w:val="5"/>
    </w:pPr>
    <w:rPr>
      <w:rFonts w:ascii="Arial" w:hAnsi="Arial"/>
      <w:lang w:val="en-GB"/>
    </w:rPr>
  </w:style>
  <w:style w:type="paragraph" w:customStyle="1" w:styleId="BoldCentred">
    <w:name w:val="Bold Centred"/>
    <w:basedOn w:val="Normal"/>
    <w:next w:val="Normal"/>
    <w:rsid w:val="00931850"/>
    <w:pPr>
      <w:keepNext/>
      <w:tabs>
        <w:tab w:val="left" w:pos="1134"/>
      </w:tabs>
      <w:spacing w:before="120" w:after="240"/>
      <w:jc w:val="center"/>
    </w:pPr>
    <w:rPr>
      <w:rFonts w:ascii="Times New Roman Bold" w:hAnsi="Times New Roman Bold"/>
      <w:b/>
      <w:sz w:val="23"/>
      <w:lang w:val="en-GB"/>
    </w:rPr>
  </w:style>
  <w:style w:type="paragraph" w:customStyle="1" w:styleId="SwandipOfficeDocs">
    <w:name w:val="Swandip Office Docs"/>
    <w:rsid w:val="00931850"/>
    <w:rPr>
      <w:rFonts w:ascii="Calibri" w:eastAsia="Calibri" w:hAnsi="Calibri"/>
      <w:sz w:val="22"/>
      <w:szCs w:val="22"/>
      <w:lang w:val="en-US" w:eastAsia="en-US"/>
    </w:rPr>
  </w:style>
  <w:style w:type="character" w:customStyle="1" w:styleId="IntenseEmphasis1">
    <w:name w:val="Intense Emphasis1"/>
    <w:uiPriority w:val="21"/>
    <w:qFormat/>
    <w:rsid w:val="00931850"/>
    <w:rPr>
      <w:b/>
      <w:bCs/>
      <w:i/>
      <w:iCs/>
      <w:color w:val="4F81BD"/>
    </w:rPr>
  </w:style>
  <w:style w:type="numbering" w:customStyle="1" w:styleId="Headings2">
    <w:name w:val="Headings2"/>
    <w:uiPriority w:val="99"/>
    <w:rsid w:val="00931850"/>
    <w:pPr>
      <w:numPr>
        <w:numId w:val="18"/>
      </w:numPr>
    </w:pPr>
  </w:style>
  <w:style w:type="table" w:styleId="MediumShading1-Accent1">
    <w:name w:val="Medium Shading 1 Accent 1"/>
    <w:basedOn w:val="TableNormal"/>
    <w:uiPriority w:val="63"/>
    <w:rsid w:val="009318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93185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mocharstyle">
    <w:name w:val="Memo char style"/>
    <w:basedOn w:val="DefaultParagraphFont"/>
    <w:rsid w:val="00931850"/>
    <w:rPr>
      <w:rFonts w:ascii="Arial" w:hAnsi="Arial"/>
      <w:b/>
      <w:sz w:val="20"/>
      <w:lang w:val="en-GB"/>
    </w:rPr>
  </w:style>
  <w:style w:type="paragraph" w:styleId="HTMLPreformatted">
    <w:name w:val="HTML Preformatted"/>
    <w:basedOn w:val="Normal"/>
    <w:link w:val="HTMLPreformattedChar"/>
    <w:uiPriority w:val="99"/>
    <w:unhideWhenUsed/>
    <w:rsid w:val="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342268"/>
    <w:rPr>
      <w:rFonts w:ascii="Courier New" w:hAnsi="Courier New" w:cs="Courier New"/>
      <w:lang w:val="en-US" w:eastAsia="en-US"/>
    </w:rPr>
  </w:style>
  <w:style w:type="paragraph" w:customStyle="1" w:styleId="BVIfnrCarCarCarCarChar">
    <w:name w:val="BVI fnr Car Car Car Car Char"/>
    <w:basedOn w:val="Normal"/>
    <w:rsid w:val="00D31C5C"/>
    <w:pPr>
      <w:spacing w:before="120" w:after="160" w:line="240" w:lineRule="exact"/>
    </w:pPr>
    <w:rPr>
      <w:rFonts w:asciiTheme="minorHAnsi" w:eastAsiaTheme="minorHAnsi" w:hAnsiTheme="minorHAnsi" w:cstheme="minorBidi"/>
      <w:sz w:val="22"/>
      <w:szCs w:val="22"/>
      <w:vertAlign w:val="superscript"/>
      <w:lang w:val="en-GB"/>
    </w:rPr>
  </w:style>
  <w:style w:type="paragraph" w:styleId="Revision">
    <w:name w:val="Revision"/>
    <w:hidden/>
    <w:uiPriority w:val="99"/>
    <w:semiHidden/>
    <w:rsid w:val="00994C7D"/>
    <w:rPr>
      <w:rFonts w:ascii="Verdana" w:hAnsi="Verdana" w:cs="Arial"/>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9324">
      <w:bodyDiv w:val="1"/>
      <w:marLeft w:val="0"/>
      <w:marRight w:val="0"/>
      <w:marTop w:val="0"/>
      <w:marBottom w:val="0"/>
      <w:divBdr>
        <w:top w:val="none" w:sz="0" w:space="0" w:color="auto"/>
        <w:left w:val="none" w:sz="0" w:space="0" w:color="auto"/>
        <w:bottom w:val="none" w:sz="0" w:space="0" w:color="auto"/>
        <w:right w:val="none" w:sz="0" w:space="0" w:color="auto"/>
      </w:divBdr>
      <w:divsChild>
        <w:div w:id="19087324">
          <w:marLeft w:val="547"/>
          <w:marRight w:val="0"/>
          <w:marTop w:val="86"/>
          <w:marBottom w:val="0"/>
          <w:divBdr>
            <w:top w:val="none" w:sz="0" w:space="0" w:color="auto"/>
            <w:left w:val="none" w:sz="0" w:space="0" w:color="auto"/>
            <w:bottom w:val="none" w:sz="0" w:space="0" w:color="auto"/>
            <w:right w:val="none" w:sz="0" w:space="0" w:color="auto"/>
          </w:divBdr>
        </w:div>
        <w:div w:id="264731842">
          <w:marLeft w:val="547"/>
          <w:marRight w:val="0"/>
          <w:marTop w:val="86"/>
          <w:marBottom w:val="0"/>
          <w:divBdr>
            <w:top w:val="none" w:sz="0" w:space="0" w:color="auto"/>
            <w:left w:val="none" w:sz="0" w:space="0" w:color="auto"/>
            <w:bottom w:val="none" w:sz="0" w:space="0" w:color="auto"/>
            <w:right w:val="none" w:sz="0" w:space="0" w:color="auto"/>
          </w:divBdr>
        </w:div>
        <w:div w:id="280504335">
          <w:marLeft w:val="547"/>
          <w:marRight w:val="0"/>
          <w:marTop w:val="86"/>
          <w:marBottom w:val="0"/>
          <w:divBdr>
            <w:top w:val="none" w:sz="0" w:space="0" w:color="auto"/>
            <w:left w:val="none" w:sz="0" w:space="0" w:color="auto"/>
            <w:bottom w:val="none" w:sz="0" w:space="0" w:color="auto"/>
            <w:right w:val="none" w:sz="0" w:space="0" w:color="auto"/>
          </w:divBdr>
        </w:div>
        <w:div w:id="387921988">
          <w:marLeft w:val="547"/>
          <w:marRight w:val="0"/>
          <w:marTop w:val="86"/>
          <w:marBottom w:val="0"/>
          <w:divBdr>
            <w:top w:val="none" w:sz="0" w:space="0" w:color="auto"/>
            <w:left w:val="none" w:sz="0" w:space="0" w:color="auto"/>
            <w:bottom w:val="none" w:sz="0" w:space="0" w:color="auto"/>
            <w:right w:val="none" w:sz="0" w:space="0" w:color="auto"/>
          </w:divBdr>
        </w:div>
        <w:div w:id="1255240230">
          <w:marLeft w:val="547"/>
          <w:marRight w:val="0"/>
          <w:marTop w:val="86"/>
          <w:marBottom w:val="0"/>
          <w:divBdr>
            <w:top w:val="none" w:sz="0" w:space="0" w:color="auto"/>
            <w:left w:val="none" w:sz="0" w:space="0" w:color="auto"/>
            <w:bottom w:val="none" w:sz="0" w:space="0" w:color="auto"/>
            <w:right w:val="none" w:sz="0" w:space="0" w:color="auto"/>
          </w:divBdr>
        </w:div>
        <w:div w:id="1850215523">
          <w:marLeft w:val="547"/>
          <w:marRight w:val="0"/>
          <w:marTop w:val="86"/>
          <w:marBottom w:val="0"/>
          <w:divBdr>
            <w:top w:val="none" w:sz="0" w:space="0" w:color="auto"/>
            <w:left w:val="none" w:sz="0" w:space="0" w:color="auto"/>
            <w:bottom w:val="none" w:sz="0" w:space="0" w:color="auto"/>
            <w:right w:val="none" w:sz="0" w:space="0" w:color="auto"/>
          </w:divBdr>
        </w:div>
      </w:divsChild>
    </w:div>
    <w:div w:id="141850547">
      <w:bodyDiv w:val="1"/>
      <w:marLeft w:val="0"/>
      <w:marRight w:val="0"/>
      <w:marTop w:val="0"/>
      <w:marBottom w:val="0"/>
      <w:divBdr>
        <w:top w:val="none" w:sz="0" w:space="0" w:color="auto"/>
        <w:left w:val="none" w:sz="0" w:space="0" w:color="auto"/>
        <w:bottom w:val="none" w:sz="0" w:space="0" w:color="auto"/>
        <w:right w:val="none" w:sz="0" w:space="0" w:color="auto"/>
      </w:divBdr>
    </w:div>
    <w:div w:id="246157440">
      <w:bodyDiv w:val="1"/>
      <w:marLeft w:val="0"/>
      <w:marRight w:val="0"/>
      <w:marTop w:val="0"/>
      <w:marBottom w:val="0"/>
      <w:divBdr>
        <w:top w:val="none" w:sz="0" w:space="0" w:color="auto"/>
        <w:left w:val="none" w:sz="0" w:space="0" w:color="auto"/>
        <w:bottom w:val="none" w:sz="0" w:space="0" w:color="auto"/>
        <w:right w:val="none" w:sz="0" w:space="0" w:color="auto"/>
      </w:divBdr>
    </w:div>
    <w:div w:id="416709362">
      <w:bodyDiv w:val="1"/>
      <w:marLeft w:val="0"/>
      <w:marRight w:val="0"/>
      <w:marTop w:val="0"/>
      <w:marBottom w:val="0"/>
      <w:divBdr>
        <w:top w:val="none" w:sz="0" w:space="0" w:color="auto"/>
        <w:left w:val="none" w:sz="0" w:space="0" w:color="auto"/>
        <w:bottom w:val="none" w:sz="0" w:space="0" w:color="auto"/>
        <w:right w:val="none" w:sz="0" w:space="0" w:color="auto"/>
      </w:divBdr>
    </w:div>
    <w:div w:id="453209981">
      <w:bodyDiv w:val="1"/>
      <w:marLeft w:val="0"/>
      <w:marRight w:val="0"/>
      <w:marTop w:val="0"/>
      <w:marBottom w:val="0"/>
      <w:divBdr>
        <w:top w:val="none" w:sz="0" w:space="0" w:color="auto"/>
        <w:left w:val="none" w:sz="0" w:space="0" w:color="auto"/>
        <w:bottom w:val="none" w:sz="0" w:space="0" w:color="auto"/>
        <w:right w:val="none" w:sz="0" w:space="0" w:color="auto"/>
      </w:divBdr>
      <w:divsChild>
        <w:div w:id="323818385">
          <w:marLeft w:val="547"/>
          <w:marRight w:val="0"/>
          <w:marTop w:val="106"/>
          <w:marBottom w:val="0"/>
          <w:divBdr>
            <w:top w:val="none" w:sz="0" w:space="0" w:color="auto"/>
            <w:left w:val="none" w:sz="0" w:space="0" w:color="auto"/>
            <w:bottom w:val="none" w:sz="0" w:space="0" w:color="auto"/>
            <w:right w:val="none" w:sz="0" w:space="0" w:color="auto"/>
          </w:divBdr>
        </w:div>
        <w:div w:id="1134716965">
          <w:marLeft w:val="547"/>
          <w:marRight w:val="0"/>
          <w:marTop w:val="106"/>
          <w:marBottom w:val="0"/>
          <w:divBdr>
            <w:top w:val="none" w:sz="0" w:space="0" w:color="auto"/>
            <w:left w:val="none" w:sz="0" w:space="0" w:color="auto"/>
            <w:bottom w:val="none" w:sz="0" w:space="0" w:color="auto"/>
            <w:right w:val="none" w:sz="0" w:space="0" w:color="auto"/>
          </w:divBdr>
        </w:div>
        <w:div w:id="1460685239">
          <w:marLeft w:val="547"/>
          <w:marRight w:val="0"/>
          <w:marTop w:val="106"/>
          <w:marBottom w:val="0"/>
          <w:divBdr>
            <w:top w:val="none" w:sz="0" w:space="0" w:color="auto"/>
            <w:left w:val="none" w:sz="0" w:space="0" w:color="auto"/>
            <w:bottom w:val="none" w:sz="0" w:space="0" w:color="auto"/>
            <w:right w:val="none" w:sz="0" w:space="0" w:color="auto"/>
          </w:divBdr>
        </w:div>
      </w:divsChild>
    </w:div>
    <w:div w:id="656808557">
      <w:bodyDiv w:val="1"/>
      <w:marLeft w:val="0"/>
      <w:marRight w:val="0"/>
      <w:marTop w:val="0"/>
      <w:marBottom w:val="0"/>
      <w:divBdr>
        <w:top w:val="none" w:sz="0" w:space="0" w:color="auto"/>
        <w:left w:val="none" w:sz="0" w:space="0" w:color="auto"/>
        <w:bottom w:val="none" w:sz="0" w:space="0" w:color="auto"/>
        <w:right w:val="none" w:sz="0" w:space="0" w:color="auto"/>
      </w:divBdr>
    </w:div>
    <w:div w:id="665016585">
      <w:bodyDiv w:val="1"/>
      <w:marLeft w:val="0"/>
      <w:marRight w:val="0"/>
      <w:marTop w:val="0"/>
      <w:marBottom w:val="0"/>
      <w:divBdr>
        <w:top w:val="none" w:sz="0" w:space="0" w:color="auto"/>
        <w:left w:val="none" w:sz="0" w:space="0" w:color="auto"/>
        <w:bottom w:val="none" w:sz="0" w:space="0" w:color="auto"/>
        <w:right w:val="none" w:sz="0" w:space="0" w:color="auto"/>
      </w:divBdr>
      <w:divsChild>
        <w:div w:id="106899663">
          <w:marLeft w:val="547"/>
          <w:marRight w:val="0"/>
          <w:marTop w:val="86"/>
          <w:marBottom w:val="0"/>
          <w:divBdr>
            <w:top w:val="none" w:sz="0" w:space="0" w:color="auto"/>
            <w:left w:val="none" w:sz="0" w:space="0" w:color="auto"/>
            <w:bottom w:val="none" w:sz="0" w:space="0" w:color="auto"/>
            <w:right w:val="none" w:sz="0" w:space="0" w:color="auto"/>
          </w:divBdr>
        </w:div>
        <w:div w:id="304697567">
          <w:marLeft w:val="547"/>
          <w:marRight w:val="0"/>
          <w:marTop w:val="86"/>
          <w:marBottom w:val="0"/>
          <w:divBdr>
            <w:top w:val="none" w:sz="0" w:space="0" w:color="auto"/>
            <w:left w:val="none" w:sz="0" w:space="0" w:color="auto"/>
            <w:bottom w:val="none" w:sz="0" w:space="0" w:color="auto"/>
            <w:right w:val="none" w:sz="0" w:space="0" w:color="auto"/>
          </w:divBdr>
        </w:div>
        <w:div w:id="495457772">
          <w:marLeft w:val="547"/>
          <w:marRight w:val="0"/>
          <w:marTop w:val="86"/>
          <w:marBottom w:val="0"/>
          <w:divBdr>
            <w:top w:val="none" w:sz="0" w:space="0" w:color="auto"/>
            <w:left w:val="none" w:sz="0" w:space="0" w:color="auto"/>
            <w:bottom w:val="none" w:sz="0" w:space="0" w:color="auto"/>
            <w:right w:val="none" w:sz="0" w:space="0" w:color="auto"/>
          </w:divBdr>
        </w:div>
        <w:div w:id="1404453410">
          <w:marLeft w:val="547"/>
          <w:marRight w:val="0"/>
          <w:marTop w:val="86"/>
          <w:marBottom w:val="0"/>
          <w:divBdr>
            <w:top w:val="none" w:sz="0" w:space="0" w:color="auto"/>
            <w:left w:val="none" w:sz="0" w:space="0" w:color="auto"/>
            <w:bottom w:val="none" w:sz="0" w:space="0" w:color="auto"/>
            <w:right w:val="none" w:sz="0" w:space="0" w:color="auto"/>
          </w:divBdr>
        </w:div>
        <w:div w:id="1567181171">
          <w:marLeft w:val="547"/>
          <w:marRight w:val="0"/>
          <w:marTop w:val="86"/>
          <w:marBottom w:val="0"/>
          <w:divBdr>
            <w:top w:val="none" w:sz="0" w:space="0" w:color="auto"/>
            <w:left w:val="none" w:sz="0" w:space="0" w:color="auto"/>
            <w:bottom w:val="none" w:sz="0" w:space="0" w:color="auto"/>
            <w:right w:val="none" w:sz="0" w:space="0" w:color="auto"/>
          </w:divBdr>
        </w:div>
        <w:div w:id="1619987762">
          <w:marLeft w:val="547"/>
          <w:marRight w:val="0"/>
          <w:marTop w:val="86"/>
          <w:marBottom w:val="0"/>
          <w:divBdr>
            <w:top w:val="none" w:sz="0" w:space="0" w:color="auto"/>
            <w:left w:val="none" w:sz="0" w:space="0" w:color="auto"/>
            <w:bottom w:val="none" w:sz="0" w:space="0" w:color="auto"/>
            <w:right w:val="none" w:sz="0" w:space="0" w:color="auto"/>
          </w:divBdr>
        </w:div>
      </w:divsChild>
    </w:div>
    <w:div w:id="704715648">
      <w:bodyDiv w:val="1"/>
      <w:marLeft w:val="0"/>
      <w:marRight w:val="0"/>
      <w:marTop w:val="0"/>
      <w:marBottom w:val="0"/>
      <w:divBdr>
        <w:top w:val="none" w:sz="0" w:space="0" w:color="auto"/>
        <w:left w:val="none" w:sz="0" w:space="0" w:color="auto"/>
        <w:bottom w:val="none" w:sz="0" w:space="0" w:color="auto"/>
        <w:right w:val="none" w:sz="0" w:space="0" w:color="auto"/>
      </w:divBdr>
    </w:div>
    <w:div w:id="834998023">
      <w:bodyDiv w:val="1"/>
      <w:marLeft w:val="0"/>
      <w:marRight w:val="0"/>
      <w:marTop w:val="0"/>
      <w:marBottom w:val="0"/>
      <w:divBdr>
        <w:top w:val="none" w:sz="0" w:space="0" w:color="auto"/>
        <w:left w:val="none" w:sz="0" w:space="0" w:color="auto"/>
        <w:bottom w:val="none" w:sz="0" w:space="0" w:color="auto"/>
        <w:right w:val="none" w:sz="0" w:space="0" w:color="auto"/>
      </w:divBdr>
    </w:div>
    <w:div w:id="998656151">
      <w:bodyDiv w:val="1"/>
      <w:marLeft w:val="0"/>
      <w:marRight w:val="0"/>
      <w:marTop w:val="0"/>
      <w:marBottom w:val="0"/>
      <w:divBdr>
        <w:top w:val="none" w:sz="0" w:space="0" w:color="auto"/>
        <w:left w:val="none" w:sz="0" w:space="0" w:color="auto"/>
        <w:bottom w:val="none" w:sz="0" w:space="0" w:color="auto"/>
        <w:right w:val="none" w:sz="0" w:space="0" w:color="auto"/>
      </w:divBdr>
    </w:div>
    <w:div w:id="1310207109">
      <w:bodyDiv w:val="1"/>
      <w:marLeft w:val="0"/>
      <w:marRight w:val="0"/>
      <w:marTop w:val="0"/>
      <w:marBottom w:val="0"/>
      <w:divBdr>
        <w:top w:val="none" w:sz="0" w:space="0" w:color="auto"/>
        <w:left w:val="none" w:sz="0" w:space="0" w:color="auto"/>
        <w:bottom w:val="none" w:sz="0" w:space="0" w:color="auto"/>
        <w:right w:val="none" w:sz="0" w:space="0" w:color="auto"/>
      </w:divBdr>
    </w:div>
    <w:div w:id="1414081247">
      <w:bodyDiv w:val="1"/>
      <w:marLeft w:val="0"/>
      <w:marRight w:val="0"/>
      <w:marTop w:val="0"/>
      <w:marBottom w:val="0"/>
      <w:divBdr>
        <w:top w:val="none" w:sz="0" w:space="0" w:color="auto"/>
        <w:left w:val="none" w:sz="0" w:space="0" w:color="auto"/>
        <w:bottom w:val="none" w:sz="0" w:space="0" w:color="auto"/>
        <w:right w:val="none" w:sz="0" w:space="0" w:color="auto"/>
      </w:divBdr>
    </w:div>
    <w:div w:id="1570918216">
      <w:bodyDiv w:val="1"/>
      <w:marLeft w:val="0"/>
      <w:marRight w:val="0"/>
      <w:marTop w:val="0"/>
      <w:marBottom w:val="0"/>
      <w:divBdr>
        <w:top w:val="none" w:sz="0" w:space="0" w:color="auto"/>
        <w:left w:val="none" w:sz="0" w:space="0" w:color="auto"/>
        <w:bottom w:val="none" w:sz="0" w:space="0" w:color="auto"/>
        <w:right w:val="none" w:sz="0" w:space="0" w:color="auto"/>
      </w:divBdr>
      <w:divsChild>
        <w:div w:id="571696261">
          <w:marLeft w:val="547"/>
          <w:marRight w:val="0"/>
          <w:marTop w:val="106"/>
          <w:marBottom w:val="0"/>
          <w:divBdr>
            <w:top w:val="none" w:sz="0" w:space="0" w:color="auto"/>
            <w:left w:val="none" w:sz="0" w:space="0" w:color="auto"/>
            <w:bottom w:val="none" w:sz="0" w:space="0" w:color="auto"/>
            <w:right w:val="none" w:sz="0" w:space="0" w:color="auto"/>
          </w:divBdr>
        </w:div>
        <w:div w:id="1636133145">
          <w:marLeft w:val="547"/>
          <w:marRight w:val="0"/>
          <w:marTop w:val="106"/>
          <w:marBottom w:val="0"/>
          <w:divBdr>
            <w:top w:val="none" w:sz="0" w:space="0" w:color="auto"/>
            <w:left w:val="none" w:sz="0" w:space="0" w:color="auto"/>
            <w:bottom w:val="none" w:sz="0" w:space="0" w:color="auto"/>
            <w:right w:val="none" w:sz="0" w:space="0" w:color="auto"/>
          </w:divBdr>
        </w:div>
        <w:div w:id="1991205554">
          <w:marLeft w:val="547"/>
          <w:marRight w:val="0"/>
          <w:marTop w:val="106"/>
          <w:marBottom w:val="0"/>
          <w:divBdr>
            <w:top w:val="none" w:sz="0" w:space="0" w:color="auto"/>
            <w:left w:val="none" w:sz="0" w:space="0" w:color="auto"/>
            <w:bottom w:val="none" w:sz="0" w:space="0" w:color="auto"/>
            <w:right w:val="none" w:sz="0" w:space="0" w:color="auto"/>
          </w:divBdr>
        </w:div>
      </w:divsChild>
    </w:div>
    <w:div w:id="1589192906">
      <w:bodyDiv w:val="1"/>
      <w:marLeft w:val="0"/>
      <w:marRight w:val="0"/>
      <w:marTop w:val="0"/>
      <w:marBottom w:val="0"/>
      <w:divBdr>
        <w:top w:val="none" w:sz="0" w:space="0" w:color="auto"/>
        <w:left w:val="none" w:sz="0" w:space="0" w:color="auto"/>
        <w:bottom w:val="none" w:sz="0" w:space="0" w:color="auto"/>
        <w:right w:val="none" w:sz="0" w:space="0" w:color="auto"/>
      </w:divBdr>
    </w:div>
    <w:div w:id="1621958383">
      <w:bodyDiv w:val="1"/>
      <w:marLeft w:val="0"/>
      <w:marRight w:val="0"/>
      <w:marTop w:val="0"/>
      <w:marBottom w:val="0"/>
      <w:divBdr>
        <w:top w:val="none" w:sz="0" w:space="0" w:color="auto"/>
        <w:left w:val="none" w:sz="0" w:space="0" w:color="auto"/>
        <w:bottom w:val="none" w:sz="0" w:space="0" w:color="auto"/>
        <w:right w:val="none" w:sz="0" w:space="0" w:color="auto"/>
      </w:divBdr>
    </w:div>
    <w:div w:id="1795975937">
      <w:bodyDiv w:val="1"/>
      <w:marLeft w:val="0"/>
      <w:marRight w:val="0"/>
      <w:marTop w:val="0"/>
      <w:marBottom w:val="0"/>
      <w:divBdr>
        <w:top w:val="none" w:sz="0" w:space="0" w:color="auto"/>
        <w:left w:val="none" w:sz="0" w:space="0" w:color="auto"/>
        <w:bottom w:val="none" w:sz="0" w:space="0" w:color="auto"/>
        <w:right w:val="none" w:sz="0" w:space="0" w:color="auto"/>
      </w:divBdr>
    </w:div>
    <w:div w:id="1856963460">
      <w:bodyDiv w:val="1"/>
      <w:marLeft w:val="0"/>
      <w:marRight w:val="0"/>
      <w:marTop w:val="0"/>
      <w:marBottom w:val="0"/>
      <w:divBdr>
        <w:top w:val="none" w:sz="0" w:space="0" w:color="auto"/>
        <w:left w:val="none" w:sz="0" w:space="0" w:color="auto"/>
        <w:bottom w:val="none" w:sz="0" w:space="0" w:color="auto"/>
        <w:right w:val="none" w:sz="0" w:space="0" w:color="auto"/>
      </w:divBdr>
    </w:div>
    <w:div w:id="1903709381">
      <w:bodyDiv w:val="1"/>
      <w:marLeft w:val="0"/>
      <w:marRight w:val="0"/>
      <w:marTop w:val="0"/>
      <w:marBottom w:val="0"/>
      <w:divBdr>
        <w:top w:val="none" w:sz="0" w:space="0" w:color="auto"/>
        <w:left w:val="none" w:sz="0" w:space="0" w:color="auto"/>
        <w:bottom w:val="none" w:sz="0" w:space="0" w:color="auto"/>
        <w:right w:val="none" w:sz="0" w:space="0" w:color="auto"/>
      </w:divBdr>
    </w:div>
    <w:div w:id="1965191665">
      <w:bodyDiv w:val="1"/>
      <w:marLeft w:val="0"/>
      <w:marRight w:val="0"/>
      <w:marTop w:val="0"/>
      <w:marBottom w:val="0"/>
      <w:divBdr>
        <w:top w:val="none" w:sz="0" w:space="0" w:color="auto"/>
        <w:left w:val="none" w:sz="0" w:space="0" w:color="auto"/>
        <w:bottom w:val="none" w:sz="0" w:space="0" w:color="auto"/>
        <w:right w:val="none" w:sz="0" w:space="0" w:color="auto"/>
      </w:divBdr>
    </w:div>
    <w:div w:id="2010668818">
      <w:bodyDiv w:val="1"/>
      <w:marLeft w:val="0"/>
      <w:marRight w:val="0"/>
      <w:marTop w:val="0"/>
      <w:marBottom w:val="0"/>
      <w:divBdr>
        <w:top w:val="none" w:sz="0" w:space="0" w:color="auto"/>
        <w:left w:val="none" w:sz="0" w:space="0" w:color="auto"/>
        <w:bottom w:val="none" w:sz="0" w:space="0" w:color="auto"/>
        <w:right w:val="none" w:sz="0" w:space="0" w:color="auto"/>
      </w:divBdr>
    </w:div>
    <w:div w:id="2036073112">
      <w:bodyDiv w:val="1"/>
      <w:marLeft w:val="0"/>
      <w:marRight w:val="0"/>
      <w:marTop w:val="0"/>
      <w:marBottom w:val="0"/>
      <w:divBdr>
        <w:top w:val="none" w:sz="0" w:space="0" w:color="auto"/>
        <w:left w:val="none" w:sz="0" w:space="0" w:color="auto"/>
        <w:bottom w:val="none" w:sz="0" w:space="0" w:color="auto"/>
        <w:right w:val="none" w:sz="0" w:space="0" w:color="auto"/>
      </w:divBdr>
      <w:divsChild>
        <w:div w:id="206770249">
          <w:marLeft w:val="547"/>
          <w:marRight w:val="0"/>
          <w:marTop w:val="86"/>
          <w:marBottom w:val="0"/>
          <w:divBdr>
            <w:top w:val="none" w:sz="0" w:space="0" w:color="auto"/>
            <w:left w:val="none" w:sz="0" w:space="0" w:color="auto"/>
            <w:bottom w:val="none" w:sz="0" w:space="0" w:color="auto"/>
            <w:right w:val="none" w:sz="0" w:space="0" w:color="auto"/>
          </w:divBdr>
        </w:div>
        <w:div w:id="221717693">
          <w:marLeft w:val="547"/>
          <w:marRight w:val="0"/>
          <w:marTop w:val="86"/>
          <w:marBottom w:val="0"/>
          <w:divBdr>
            <w:top w:val="none" w:sz="0" w:space="0" w:color="auto"/>
            <w:left w:val="none" w:sz="0" w:space="0" w:color="auto"/>
            <w:bottom w:val="none" w:sz="0" w:space="0" w:color="auto"/>
            <w:right w:val="none" w:sz="0" w:space="0" w:color="auto"/>
          </w:divBdr>
        </w:div>
        <w:div w:id="241717904">
          <w:marLeft w:val="547"/>
          <w:marRight w:val="0"/>
          <w:marTop w:val="86"/>
          <w:marBottom w:val="0"/>
          <w:divBdr>
            <w:top w:val="none" w:sz="0" w:space="0" w:color="auto"/>
            <w:left w:val="none" w:sz="0" w:space="0" w:color="auto"/>
            <w:bottom w:val="none" w:sz="0" w:space="0" w:color="auto"/>
            <w:right w:val="none" w:sz="0" w:space="0" w:color="auto"/>
          </w:divBdr>
        </w:div>
        <w:div w:id="1395008185">
          <w:marLeft w:val="547"/>
          <w:marRight w:val="0"/>
          <w:marTop w:val="86"/>
          <w:marBottom w:val="0"/>
          <w:divBdr>
            <w:top w:val="none" w:sz="0" w:space="0" w:color="auto"/>
            <w:left w:val="none" w:sz="0" w:space="0" w:color="auto"/>
            <w:bottom w:val="none" w:sz="0" w:space="0" w:color="auto"/>
            <w:right w:val="none" w:sz="0" w:space="0" w:color="auto"/>
          </w:divBdr>
        </w:div>
        <w:div w:id="1534073646">
          <w:marLeft w:val="547"/>
          <w:marRight w:val="0"/>
          <w:marTop w:val="86"/>
          <w:marBottom w:val="0"/>
          <w:divBdr>
            <w:top w:val="none" w:sz="0" w:space="0" w:color="auto"/>
            <w:left w:val="none" w:sz="0" w:space="0" w:color="auto"/>
            <w:bottom w:val="none" w:sz="0" w:space="0" w:color="auto"/>
            <w:right w:val="none" w:sz="0" w:space="0" w:color="auto"/>
          </w:divBdr>
        </w:div>
        <w:div w:id="2116247726">
          <w:marLeft w:val="547"/>
          <w:marRight w:val="0"/>
          <w:marTop w:val="86"/>
          <w:marBottom w:val="0"/>
          <w:divBdr>
            <w:top w:val="none" w:sz="0" w:space="0" w:color="auto"/>
            <w:left w:val="none" w:sz="0" w:space="0" w:color="auto"/>
            <w:bottom w:val="none" w:sz="0" w:space="0" w:color="auto"/>
            <w:right w:val="none" w:sz="0" w:space="0" w:color="auto"/>
          </w:divBdr>
        </w:div>
      </w:divsChild>
    </w:div>
    <w:div w:id="20422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bon\ifadboxapp\1)%20In%20progress\00%20PCRV%20Coordination\00%20Tools%20&amp;%20Processes\TemplatePCR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E2BF78300BE49AD0BD5099383BABE" ma:contentTypeVersion="1" ma:contentTypeDescription="Create a new document." ma:contentTypeScope="" ma:versionID="fa66e72acb7264d020b86ee48628476d">
  <xsd:schema xmlns:xsd="http://www.w3.org/2001/XMLSchema" xmlns:xs="http://www.w3.org/2001/XMLSchema" xmlns:p="http://schemas.microsoft.com/office/2006/metadata/properties" xmlns:ns2="ffbe964c-68eb-4fe3-95fd-83c95ae91e19" targetNamespace="http://schemas.microsoft.com/office/2006/metadata/properties" ma:root="true" ma:fieldsID="f58b3af17a7801f052cc984dc34a5457" ns2:_="">
    <xsd:import namespace="ffbe964c-68eb-4fe3-95fd-83c95ae91e19"/>
    <xsd:element name="properties">
      <xsd:complexType>
        <xsd:sequence>
          <xsd:element name="documentManagement">
            <xsd:complexType>
              <xsd:all>
                <xsd:element ref="ns2: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964c-68eb-4fe3-95fd-83c95ae91e19" elementFormDefault="qualified">
    <xsd:import namespace="http://schemas.microsoft.com/office/2006/documentManagement/types"/>
    <xsd:import namespace="http://schemas.microsoft.com/office/infopath/2007/PartnerControls"/>
    <xsd:element name="DocID" ma:index="8" nillable="true" ma:displayName="DocID" ma:internalName="Doc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ID xmlns="ffbe964c-68eb-4fe3-95fd-83c95ae91e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5EE7-2825-4235-AB02-AAE1BC19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964c-68eb-4fe3-95fd-83c95ae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4D70C-6069-44EF-B24B-5CB61F1D0177}">
  <ds:schemaRefs>
    <ds:schemaRef ds:uri="http://schemas.microsoft.com/sharepoint/v3/contenttype/forms"/>
  </ds:schemaRefs>
</ds:datastoreItem>
</file>

<file path=customXml/itemProps3.xml><?xml version="1.0" encoding="utf-8"?>
<ds:datastoreItem xmlns:ds="http://schemas.openxmlformats.org/officeDocument/2006/customXml" ds:itemID="{68CCEDD7-34A2-4043-AA67-963BDEEE9A82}">
  <ds:schemaRefs>
    <ds:schemaRef ds:uri="http://schemas.microsoft.com/office/2006/metadata/properties"/>
    <ds:schemaRef ds:uri="http://schemas.microsoft.com/office/infopath/2007/PartnerControls"/>
    <ds:schemaRef ds:uri="ffbe964c-68eb-4fe3-95fd-83c95ae91e19"/>
  </ds:schemaRefs>
</ds:datastoreItem>
</file>

<file path=customXml/itemProps4.xml><?xml version="1.0" encoding="utf-8"?>
<ds:datastoreItem xmlns:ds="http://schemas.openxmlformats.org/officeDocument/2006/customXml" ds:itemID="{10D9DBA2-C797-4FBE-8F4F-C4C4C63F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TemplatePCRV.dotm</Template>
  <TotalTime>226</TotalTime>
  <Pages>1</Pages>
  <Words>9228</Words>
  <Characters>52603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TemplatePCRV</vt:lpstr>
    </vt:vector>
  </TitlesOfParts>
  <Company>IFAD</Company>
  <LinksUpToDate>false</LinksUpToDate>
  <CharactersWithSpaces>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TemplatePCRV</dc:title>
  <dc:creator>Carbon, Michael Dominique</dc:creator>
  <cp:lastModifiedBy>Morgia, Laura</cp:lastModifiedBy>
  <cp:revision>27</cp:revision>
  <cp:lastPrinted>2019-12-11T18:22:00Z</cp:lastPrinted>
  <dcterms:created xsi:type="dcterms:W3CDTF">2020-02-11T09:06:00Z</dcterms:created>
  <dcterms:modified xsi:type="dcterms:W3CDTF">2020-07-15T14:54:00Z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0x010100DA6E2BF78300BE49AD0BD5099383BABE</vt:lpwstr>
  </property>
</Properties>
</file>